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BDFCD" w14:textId="261894AB" w:rsidR="005D5EC9" w:rsidRDefault="001C513F">
      <w:pPr>
        <w:pStyle w:val="00cabeos"/>
      </w:pPr>
      <w:r>
        <w:t xml:space="preserve">Sequência didática 2 – </w:t>
      </w:r>
      <w:r w:rsidRPr="00607D07">
        <w:t>Observando objetos</w:t>
      </w:r>
    </w:p>
    <w:p w14:paraId="6415AF03" w14:textId="77777777" w:rsidR="005D5EC9" w:rsidRDefault="005D5EC9">
      <w:pPr>
        <w:pStyle w:val="SemEspaamento"/>
        <w:rPr>
          <w:lang w:val="pt-BR"/>
        </w:rPr>
      </w:pPr>
    </w:p>
    <w:p w14:paraId="2EE7E387" w14:textId="77777777" w:rsidR="005D5EC9" w:rsidRDefault="001C513F">
      <w:pPr>
        <w:pStyle w:val="00PESO2"/>
        <w:rPr>
          <w:rFonts w:hint="eastAsia"/>
        </w:rPr>
      </w:pPr>
      <w:bookmarkStart w:id="0" w:name="_Hlk495302807"/>
      <w:bookmarkEnd w:id="0"/>
      <w:r>
        <w:t>Conteúdos:</w:t>
      </w:r>
    </w:p>
    <w:p w14:paraId="111078EE" w14:textId="77777777" w:rsidR="005D5EC9" w:rsidRDefault="001C513F">
      <w:pPr>
        <w:pStyle w:val="00Textogeralbullet"/>
        <w:numPr>
          <w:ilvl w:val="0"/>
          <w:numId w:val="1"/>
        </w:numPr>
      </w:pPr>
      <w:bookmarkStart w:id="1" w:name="_Hlk495302868"/>
      <w:bookmarkEnd w:id="1"/>
      <w:r>
        <w:t>Localização e posição de objetos e representação espacial.</w:t>
      </w:r>
    </w:p>
    <w:p w14:paraId="3FFBEF7E" w14:textId="77777777" w:rsidR="005D5EC9" w:rsidRDefault="005D5EC9">
      <w:pPr>
        <w:pStyle w:val="00PESO2"/>
        <w:rPr>
          <w:rFonts w:hint="eastAsia"/>
        </w:rPr>
      </w:pPr>
    </w:p>
    <w:p w14:paraId="3F1F94FB" w14:textId="77777777" w:rsidR="005D5EC9" w:rsidRDefault="001C513F">
      <w:pPr>
        <w:pStyle w:val="00PESO2"/>
        <w:rPr>
          <w:rFonts w:hint="eastAsia"/>
        </w:rPr>
      </w:pPr>
      <w:r>
        <w:t>Objetivos:</w:t>
      </w:r>
    </w:p>
    <w:p w14:paraId="39A343B7" w14:textId="77777777" w:rsidR="005D5EC9" w:rsidRDefault="001C513F">
      <w:pPr>
        <w:pStyle w:val="00Textogeralbullet"/>
        <w:numPr>
          <w:ilvl w:val="0"/>
          <w:numId w:val="1"/>
        </w:numPr>
      </w:pPr>
      <w:bookmarkStart w:id="2" w:name="_Hlk495302977"/>
      <w:bookmarkEnd w:id="2"/>
      <w:r>
        <w:t>Identificar objetos e aplicar as noções de localização e posicionamento.</w:t>
      </w:r>
    </w:p>
    <w:p w14:paraId="476997D9" w14:textId="77777777" w:rsidR="005D5EC9" w:rsidRDefault="001C513F">
      <w:pPr>
        <w:pStyle w:val="00Textogeralbullet"/>
        <w:numPr>
          <w:ilvl w:val="0"/>
          <w:numId w:val="1"/>
        </w:numPr>
      </w:pPr>
      <w:r>
        <w:t>Compreender os diferentes pontos de vista de observação de objetos.</w:t>
      </w:r>
    </w:p>
    <w:p w14:paraId="69006A3C" w14:textId="77777777" w:rsidR="00FA6535" w:rsidRDefault="00FA6535" w:rsidP="00FA6535">
      <w:pPr>
        <w:pStyle w:val="00Textogeralbullet"/>
      </w:pPr>
    </w:p>
    <w:p w14:paraId="4FF87F66" w14:textId="77777777" w:rsidR="00FA6535" w:rsidRDefault="00FA6535" w:rsidP="00FA6535">
      <w:pPr>
        <w:pStyle w:val="00PESO2"/>
        <w:rPr>
          <w:rFonts w:hint="eastAsia"/>
        </w:rPr>
      </w:pPr>
      <w:r>
        <w:t>Número de aulas:</w:t>
      </w:r>
    </w:p>
    <w:p w14:paraId="0B3C52B6" w14:textId="77777777" w:rsidR="00FA6535" w:rsidRDefault="00FA6535" w:rsidP="00FA6535">
      <w:pPr>
        <w:pStyle w:val="00textosemparagrafo"/>
      </w:pPr>
      <w:r>
        <w:t>2 aulas.</w:t>
      </w:r>
    </w:p>
    <w:p w14:paraId="243DBDC0" w14:textId="77777777" w:rsidR="00FA6535" w:rsidRDefault="00FA6535" w:rsidP="00677A8E">
      <w:pPr>
        <w:pStyle w:val="00Textogeralbullet"/>
      </w:pPr>
    </w:p>
    <w:p w14:paraId="30AE13BF" w14:textId="77777777" w:rsidR="005D5EC9" w:rsidRDefault="001C513F">
      <w:pPr>
        <w:pStyle w:val="00PESO2"/>
        <w:rPr>
          <w:rFonts w:hint="eastAsia"/>
          <w:color w:val="0070C0"/>
        </w:rPr>
      </w:pPr>
      <w:r>
        <w:rPr>
          <w:spacing w:val="-8"/>
        </w:rPr>
        <w:t>Objetos de conhecimento e habilidades da Base Nacional Comum Curricular:</w:t>
      </w:r>
    </w:p>
    <w:p w14:paraId="21385DD5" w14:textId="77777777" w:rsidR="005D5EC9" w:rsidRDefault="001C513F">
      <w:pPr>
        <w:pStyle w:val="00Textogeral"/>
        <w:rPr>
          <w:b/>
        </w:rPr>
      </w:pPr>
      <w:bookmarkStart w:id="3" w:name="_Hlk495303301"/>
      <w:bookmarkEnd w:id="3"/>
      <w:r>
        <w:rPr>
          <w:spacing w:val="-2"/>
        </w:rPr>
        <w:t xml:space="preserve">A sequência didática se desenvolve em torno do objeto de conhecimento do componente curricular Geografia: </w:t>
      </w:r>
      <w:r>
        <w:rPr>
          <w:i/>
          <w:spacing w:val="-2"/>
        </w:rPr>
        <w:t>Localização, orientação e representação espacial</w:t>
      </w:r>
      <w:r>
        <w:rPr>
          <w:spacing w:val="-2"/>
        </w:rPr>
        <w:t xml:space="preserve">, articulado </w:t>
      </w:r>
      <w:r w:rsidR="00FA6535">
        <w:rPr>
          <w:spacing w:val="-2"/>
        </w:rPr>
        <w:t>à</w:t>
      </w:r>
      <w:r>
        <w:rPr>
          <w:spacing w:val="-2"/>
        </w:rPr>
        <w:t xml:space="preserve"> habilidade </w:t>
      </w:r>
      <w:r>
        <w:rPr>
          <w:b/>
          <w:spacing w:val="-2"/>
        </w:rPr>
        <w:t>EF02GE09</w:t>
      </w:r>
      <w:r w:rsidRPr="00B92739">
        <w:rPr>
          <w:b/>
          <w:spacing w:val="-2"/>
        </w:rPr>
        <w:t>:</w:t>
      </w:r>
      <w:r>
        <w:rPr>
          <w:i/>
          <w:spacing w:val="-2"/>
        </w:rPr>
        <w:t xml:space="preserve"> Identificar objetos e lugares de vivência (escola e moradia) em imagens aéreas e mapas (visão vertical) e fotografias (visão oblíqua), </w:t>
      </w:r>
      <w:r>
        <w:rPr>
          <w:spacing w:val="-2"/>
        </w:rPr>
        <w:t xml:space="preserve">e </w:t>
      </w:r>
      <w:r w:rsidR="00FA6535">
        <w:rPr>
          <w:spacing w:val="-2"/>
        </w:rPr>
        <w:t>à</w:t>
      </w:r>
      <w:r>
        <w:rPr>
          <w:spacing w:val="-2"/>
        </w:rPr>
        <w:t xml:space="preserve"> habilidade </w:t>
      </w:r>
      <w:r>
        <w:rPr>
          <w:b/>
          <w:spacing w:val="-2"/>
        </w:rPr>
        <w:t>EF02GE10</w:t>
      </w:r>
      <w:r w:rsidRPr="00B92739">
        <w:rPr>
          <w:b/>
          <w:spacing w:val="-2"/>
        </w:rPr>
        <w:t>:</w:t>
      </w:r>
      <w:r>
        <w:rPr>
          <w:i/>
          <w:spacing w:val="-2"/>
        </w:rPr>
        <w:t xml:space="preserve"> Aplicar princípios de localização e posição de objetos (referenciais espaciais, como frente e atrás, esquerda e direita, em cima e embaixo, dentro e fora), por meio de representações espaciais da sala de aula e da escola</w:t>
      </w:r>
      <w:r>
        <w:rPr>
          <w:spacing w:val="-2"/>
        </w:rPr>
        <w:t>.</w:t>
      </w:r>
    </w:p>
    <w:p w14:paraId="0A7466E2" w14:textId="77777777" w:rsidR="005D5EC9" w:rsidRDefault="005D5EC9">
      <w:pPr>
        <w:pStyle w:val="00PESO2"/>
        <w:rPr>
          <w:rFonts w:hint="eastAsia"/>
        </w:rPr>
      </w:pPr>
    </w:p>
    <w:p w14:paraId="25B8663F" w14:textId="77777777" w:rsidR="005D5EC9" w:rsidRDefault="001C513F">
      <w:pPr>
        <w:pStyle w:val="00PESO2"/>
        <w:rPr>
          <w:rFonts w:ascii="Arial" w:hAnsi="Arial" w:cs="Arial"/>
        </w:rPr>
      </w:pPr>
      <w:bookmarkStart w:id="4" w:name="_Hlk495304615"/>
      <w:bookmarkStart w:id="5" w:name="_Hlk495304632"/>
      <w:bookmarkEnd w:id="4"/>
      <w:bookmarkEnd w:id="5"/>
      <w:r>
        <w:t>Aula 1</w:t>
      </w:r>
    </w:p>
    <w:p w14:paraId="2E37483E" w14:textId="77777777" w:rsidR="005D5EC9" w:rsidRDefault="001C513F">
      <w:pPr>
        <w:pStyle w:val="00peso3"/>
        <w:rPr>
          <w:rFonts w:hint="eastAsia"/>
        </w:rPr>
      </w:pPr>
      <w:r>
        <w:t>Conteúdo específico:</w:t>
      </w:r>
    </w:p>
    <w:p w14:paraId="19DB45B2" w14:textId="77777777" w:rsidR="005D5EC9" w:rsidRDefault="001C513F">
      <w:pPr>
        <w:pStyle w:val="00Textogeralbullet"/>
        <w:numPr>
          <w:ilvl w:val="0"/>
          <w:numId w:val="1"/>
        </w:numPr>
        <w:rPr>
          <w:b/>
        </w:rPr>
      </w:pPr>
      <w:bookmarkStart w:id="6" w:name="_Hlk495304649"/>
      <w:bookmarkEnd w:id="6"/>
      <w:r>
        <w:t>Os referenciais espaciais para observação de objetos.</w:t>
      </w:r>
    </w:p>
    <w:p w14:paraId="0C0D88F8" w14:textId="77777777" w:rsidR="005D5EC9" w:rsidRDefault="005D5EC9">
      <w:pPr>
        <w:pStyle w:val="00peso3"/>
        <w:rPr>
          <w:rFonts w:hint="eastAsia"/>
        </w:rPr>
      </w:pPr>
    </w:p>
    <w:p w14:paraId="7E4C5A9F" w14:textId="77777777" w:rsidR="005D5EC9" w:rsidRDefault="001C513F">
      <w:pPr>
        <w:pStyle w:val="00peso3"/>
        <w:rPr>
          <w:rFonts w:hint="eastAsia"/>
        </w:rPr>
      </w:pPr>
      <w:r>
        <w:t>Recursos didáticos:</w:t>
      </w:r>
    </w:p>
    <w:p w14:paraId="523D7F5F" w14:textId="77777777" w:rsidR="005D5EC9" w:rsidRDefault="001C513F">
      <w:pPr>
        <w:pStyle w:val="00Textogeralbullet"/>
        <w:numPr>
          <w:ilvl w:val="0"/>
          <w:numId w:val="1"/>
        </w:numPr>
      </w:pPr>
      <w:bookmarkStart w:id="7" w:name="_Hlk495304821"/>
      <w:bookmarkEnd w:id="7"/>
      <w:r>
        <w:t>Páginas 146 e 147 do Livro do Estudante.</w:t>
      </w:r>
    </w:p>
    <w:p w14:paraId="1C4C31DC" w14:textId="77777777" w:rsidR="005D5EC9" w:rsidRDefault="001C513F">
      <w:pPr>
        <w:pStyle w:val="00Textogeralbullet"/>
        <w:numPr>
          <w:ilvl w:val="0"/>
          <w:numId w:val="1"/>
        </w:numPr>
      </w:pPr>
      <w:r>
        <w:t>Folhas de papel sulfite.</w:t>
      </w:r>
    </w:p>
    <w:p w14:paraId="3221904D" w14:textId="6F2C8EE7" w:rsidR="005D5EC9" w:rsidRDefault="001C513F">
      <w:pPr>
        <w:pStyle w:val="00Textogeralbullet"/>
        <w:numPr>
          <w:ilvl w:val="0"/>
          <w:numId w:val="1"/>
        </w:numPr>
      </w:pPr>
      <w:r>
        <w:t>Tesoura</w:t>
      </w:r>
      <w:r w:rsidR="001A6D68">
        <w:t xml:space="preserve"> </w:t>
      </w:r>
      <w:r w:rsidR="001A6D68" w:rsidRPr="001A6D68">
        <w:rPr>
          <w:lang w:val="en-US"/>
        </w:rPr>
        <w:t xml:space="preserve">com </w:t>
      </w:r>
      <w:proofErr w:type="spellStart"/>
      <w:r w:rsidR="001A6D68" w:rsidRPr="001A6D68">
        <w:rPr>
          <w:lang w:val="en-US"/>
        </w:rPr>
        <w:t>pontas</w:t>
      </w:r>
      <w:proofErr w:type="spellEnd"/>
      <w:r w:rsidR="001A6D68" w:rsidRPr="001A6D68">
        <w:rPr>
          <w:lang w:val="en-US"/>
        </w:rPr>
        <w:t xml:space="preserve"> </w:t>
      </w:r>
      <w:proofErr w:type="spellStart"/>
      <w:r w:rsidR="001A6D68" w:rsidRPr="001A6D68">
        <w:rPr>
          <w:lang w:val="en-US"/>
        </w:rPr>
        <w:t>arredondadas</w:t>
      </w:r>
      <w:proofErr w:type="spellEnd"/>
      <w:r>
        <w:t>.</w:t>
      </w:r>
    </w:p>
    <w:p w14:paraId="4CA9A979" w14:textId="0EE27BB2" w:rsidR="005D5EC9" w:rsidRDefault="001C513F">
      <w:pPr>
        <w:pStyle w:val="00Textogeralbullet"/>
        <w:numPr>
          <w:ilvl w:val="0"/>
          <w:numId w:val="1"/>
        </w:numPr>
      </w:pPr>
      <w:r>
        <w:t>Cola.</w:t>
      </w:r>
    </w:p>
    <w:p w14:paraId="23D75615" w14:textId="77777777" w:rsidR="005D5EC9" w:rsidRDefault="001C513F">
      <w:pPr>
        <w:pStyle w:val="00Textogeralbullet"/>
        <w:numPr>
          <w:ilvl w:val="0"/>
          <w:numId w:val="1"/>
        </w:numPr>
      </w:pPr>
      <w:r>
        <w:t>Panfleto de loja de móveis.</w:t>
      </w:r>
    </w:p>
    <w:p w14:paraId="170E3647" w14:textId="77777777" w:rsidR="005D5EC9" w:rsidRDefault="005D5EC9">
      <w:pPr>
        <w:rPr>
          <w:rFonts w:ascii="Cambria-Bold" w:hAnsi="Cambria-Bold" w:cs="Cambria-Bold" w:hint="eastAsia"/>
          <w:b/>
          <w:bCs/>
          <w:color w:val="000000"/>
          <w:szCs w:val="27"/>
          <w:lang w:val="pt-BR"/>
        </w:rPr>
      </w:pPr>
    </w:p>
    <w:p w14:paraId="174502AF" w14:textId="77777777" w:rsidR="005D5EC9" w:rsidRDefault="001C513F">
      <w:pPr>
        <w:pStyle w:val="00peso3"/>
        <w:rPr>
          <w:rFonts w:hint="eastAsia"/>
        </w:rPr>
      </w:pPr>
      <w:bookmarkStart w:id="8" w:name="_Hlk495304910"/>
      <w:bookmarkEnd w:id="8"/>
      <w:r>
        <w:t>Encaminhamento:</w:t>
      </w:r>
    </w:p>
    <w:p w14:paraId="67198F59" w14:textId="7D64DAF6" w:rsidR="0013744A" w:rsidRDefault="001C513F" w:rsidP="00C76E99">
      <w:pPr>
        <w:pStyle w:val="00Textogeral"/>
        <w:spacing w:after="50"/>
        <w:ind w:firstLine="284"/>
        <w:rPr>
          <w:spacing w:val="-2"/>
        </w:rPr>
      </w:pPr>
      <w:r>
        <w:rPr>
          <w:spacing w:val="-2"/>
        </w:rPr>
        <w:t xml:space="preserve">Inicie a aula comentando com os alunos que os objetos podem ser observados de diferentes pontos de vista. Peça aos alunos que coloquem um livro sobre as carteiras e, em seguida, oriente-os a </w:t>
      </w:r>
      <w:r w:rsidR="007219B4">
        <w:rPr>
          <w:spacing w:val="-2"/>
        </w:rPr>
        <w:t>observá-lo</w:t>
      </w:r>
      <w:r>
        <w:rPr>
          <w:spacing w:val="-2"/>
        </w:rPr>
        <w:t xml:space="preserve"> de duas maneiras: primeiro, de cima e de lado e, depois, apenas de cima. Solicite que descrevam quais os detalhes que eles observam em cada um desses pontos de vista.</w:t>
      </w:r>
    </w:p>
    <w:p w14:paraId="7B8D78EB" w14:textId="6EB9CD9E" w:rsidR="0013744A" w:rsidRPr="0013744A" w:rsidRDefault="0013744A" w:rsidP="0013744A">
      <w:pPr>
        <w:rPr>
          <w:rFonts w:ascii="Tahoma" w:hAnsi="Tahoma" w:cs="Tahoma"/>
          <w:color w:val="000000"/>
          <w:spacing w:val="-2"/>
          <w:sz w:val="22"/>
          <w:szCs w:val="22"/>
          <w:lang w:val="pt-BR"/>
        </w:rPr>
      </w:pPr>
      <w:r w:rsidRPr="001E1805">
        <w:rPr>
          <w:spacing w:val="-2"/>
          <w:lang w:val="pt-BR"/>
        </w:rPr>
        <w:br w:type="page"/>
      </w:r>
    </w:p>
    <w:p w14:paraId="5C5F023E" w14:textId="1922CCDA" w:rsidR="005D5EC9" w:rsidRDefault="001C513F" w:rsidP="00C76E99">
      <w:pPr>
        <w:pStyle w:val="00Textogeral"/>
        <w:spacing w:after="50"/>
        <w:ind w:firstLine="284"/>
        <w:rPr>
          <w:spacing w:val="-2"/>
        </w:rPr>
      </w:pPr>
      <w:r>
        <w:rPr>
          <w:spacing w:val="-2"/>
        </w:rPr>
        <w:lastRenderedPageBreak/>
        <w:t>Depois, peça aos alunos que observem as imagens 1, 2, 3 e 4 da página 146 do Livro do Estudante, nas quais uma criança vê um copo sobre uma bandeja de diferentes pontos de vista. Destaque que os objetos (copo e bandeja) estão na mesma posição em todas as situações, quem varia de posição é o observador, por isso a representação dos objetos é diferente. Solicite</w:t>
      </w:r>
      <w:r w:rsidR="00FA6535">
        <w:rPr>
          <w:spacing w:val="-2"/>
        </w:rPr>
        <w:t>-lhes</w:t>
      </w:r>
      <w:r>
        <w:rPr>
          <w:spacing w:val="-2"/>
        </w:rPr>
        <w:t xml:space="preserve"> que respondam </w:t>
      </w:r>
      <w:r w:rsidR="00FA6535">
        <w:rPr>
          <w:spacing w:val="-2"/>
        </w:rPr>
        <w:t>à</w:t>
      </w:r>
      <w:r>
        <w:rPr>
          <w:spacing w:val="-2"/>
        </w:rPr>
        <w:t xml:space="preserve"> atividade 1, que trabalha com a posição do observador e dos pontos de vista.</w:t>
      </w:r>
    </w:p>
    <w:p w14:paraId="43E5E628" w14:textId="0E3DAD22" w:rsidR="005D5EC9" w:rsidRDefault="001C513F">
      <w:pPr>
        <w:pStyle w:val="00Textogeral"/>
        <w:rPr>
          <w:spacing w:val="-2"/>
        </w:rPr>
      </w:pPr>
      <w:r>
        <w:rPr>
          <w:spacing w:val="-2"/>
        </w:rPr>
        <w:t xml:space="preserve">Em seguida, proponha aos alunos que façam a atividade 2, na qual eles devem desenhar algum objeto escolar </w:t>
      </w:r>
      <w:r w:rsidR="00FA6535">
        <w:rPr>
          <w:spacing w:val="-2"/>
        </w:rPr>
        <w:t xml:space="preserve">de </w:t>
      </w:r>
      <w:r>
        <w:rPr>
          <w:spacing w:val="-2"/>
        </w:rPr>
        <w:t xml:space="preserve">diferentes pontos de vista. Oriente-os a observar objetos diferentes, como apontadores e estojos. Se julgar conveniente, peça que a atividade seja realizada em folhas de papel sulfite e depois exponha os desenhos na sala de aula. </w:t>
      </w:r>
    </w:p>
    <w:p w14:paraId="65BB5A01" w14:textId="77777777" w:rsidR="005D5EC9" w:rsidRDefault="001C513F">
      <w:pPr>
        <w:pStyle w:val="00Textogeral"/>
        <w:rPr>
          <w:spacing w:val="-2"/>
        </w:rPr>
      </w:pPr>
      <w:r>
        <w:rPr>
          <w:spacing w:val="-2"/>
        </w:rPr>
        <w:t xml:space="preserve">No segundo momento da aula, proponha a realização da atividade 3 da página 147 do Livro do Estudante. Nessa atividade, os alunos devem recortar e colar algumas imagens que mostram objetos </w:t>
      </w:r>
      <w:r w:rsidR="00FA6535">
        <w:rPr>
          <w:spacing w:val="-2"/>
        </w:rPr>
        <w:t xml:space="preserve">de </w:t>
      </w:r>
      <w:r>
        <w:rPr>
          <w:spacing w:val="-2"/>
        </w:rPr>
        <w:t>diferentes pontos de vista.</w:t>
      </w:r>
    </w:p>
    <w:p w14:paraId="5F78D185" w14:textId="77777777" w:rsidR="005D5EC9" w:rsidRDefault="005D5EC9">
      <w:pPr>
        <w:pStyle w:val="00Peso4"/>
        <w:rPr>
          <w:rFonts w:hint="eastAsia"/>
        </w:rPr>
      </w:pPr>
    </w:p>
    <w:p w14:paraId="390AD081" w14:textId="10D5EF7D" w:rsidR="005D5EC9" w:rsidRDefault="001C513F">
      <w:pPr>
        <w:pStyle w:val="00Peso4"/>
        <w:rPr>
          <w:rFonts w:hint="eastAsia"/>
        </w:rPr>
      </w:pPr>
      <w:r>
        <w:t>Atividade complementar</w:t>
      </w:r>
    </w:p>
    <w:p w14:paraId="6EEDC1FF" w14:textId="77777777" w:rsidR="005D5EC9" w:rsidRDefault="001C513F">
      <w:pPr>
        <w:pStyle w:val="00Textogeral"/>
      </w:pPr>
      <w:r>
        <w:t xml:space="preserve">Proponha aos alunos que façam uma colagem representando algum cômodo da sua moradia. Oriente-os a recortar de panfletos de lojas algumas imagens de móveis </w:t>
      </w:r>
      <w:r w:rsidR="00FA6535">
        <w:t xml:space="preserve">de </w:t>
      </w:r>
      <w:r>
        <w:t xml:space="preserve">diferentes pontos de vista. Essas imagens devem ser utilizadas para ilustrar os móveis do cômodo. </w:t>
      </w:r>
      <w:r w:rsidRPr="00607D07">
        <w:t>Depois, peça a cada aluno</w:t>
      </w:r>
      <w:r w:rsidR="00FA6535">
        <w:t xml:space="preserve"> que</w:t>
      </w:r>
      <w:r w:rsidRPr="00607D07">
        <w:t xml:space="preserve"> apresent</w:t>
      </w:r>
      <w:r w:rsidR="00FA6535">
        <w:t>e</w:t>
      </w:r>
      <w:r w:rsidRPr="00607D07">
        <w:t xml:space="preserve"> a sua colagem</w:t>
      </w:r>
      <w:r>
        <w:t>.</w:t>
      </w:r>
    </w:p>
    <w:p w14:paraId="32384B60" w14:textId="77777777" w:rsidR="005D5EC9" w:rsidRDefault="005D5EC9">
      <w:pPr>
        <w:pStyle w:val="00PESO2"/>
        <w:rPr>
          <w:rFonts w:hint="eastAsia"/>
        </w:rPr>
      </w:pPr>
    </w:p>
    <w:p w14:paraId="6D4E1DC7" w14:textId="77777777" w:rsidR="005D5EC9" w:rsidRDefault="001C513F">
      <w:pPr>
        <w:pStyle w:val="00PESO2"/>
        <w:rPr>
          <w:rFonts w:hint="eastAsia"/>
        </w:rPr>
      </w:pPr>
      <w:r>
        <w:t>Aula 2</w:t>
      </w:r>
    </w:p>
    <w:p w14:paraId="68D943AA" w14:textId="77777777" w:rsidR="005D5EC9" w:rsidRDefault="001C513F">
      <w:pPr>
        <w:pStyle w:val="00peso3"/>
        <w:rPr>
          <w:rFonts w:hint="eastAsia"/>
        </w:rPr>
      </w:pPr>
      <w:r>
        <w:t>Conteúdo específico:</w:t>
      </w:r>
    </w:p>
    <w:p w14:paraId="7205D202" w14:textId="77777777" w:rsidR="005D5EC9" w:rsidRDefault="001C513F">
      <w:pPr>
        <w:pStyle w:val="00Textogeralbullet"/>
        <w:numPr>
          <w:ilvl w:val="0"/>
          <w:numId w:val="1"/>
        </w:numPr>
        <w:rPr>
          <w:b/>
        </w:rPr>
      </w:pPr>
      <w:proofErr w:type="spellStart"/>
      <w:r>
        <w:rPr>
          <w:lang w:val="en-US"/>
        </w:rPr>
        <w:t>Diferentes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pontos</w:t>
      </w:r>
      <w:proofErr w:type="spellEnd"/>
      <w:r>
        <w:rPr>
          <w:lang w:val="en-US"/>
        </w:rPr>
        <w:t xml:space="preserve"> de vista</w:t>
      </w:r>
      <w:r>
        <w:t>.</w:t>
      </w:r>
    </w:p>
    <w:p w14:paraId="64567D3A" w14:textId="77777777" w:rsidR="005D5EC9" w:rsidRDefault="005D5EC9">
      <w:pPr>
        <w:pStyle w:val="00peso3"/>
        <w:rPr>
          <w:rFonts w:hint="eastAsia"/>
        </w:rPr>
      </w:pPr>
    </w:p>
    <w:p w14:paraId="650F067D" w14:textId="77777777" w:rsidR="005D5EC9" w:rsidRDefault="001C513F">
      <w:pPr>
        <w:pStyle w:val="00peso3"/>
        <w:rPr>
          <w:rFonts w:hint="eastAsia"/>
        </w:rPr>
      </w:pPr>
      <w:r>
        <w:t>Recursos didáticos:</w:t>
      </w:r>
    </w:p>
    <w:p w14:paraId="0C78E33F" w14:textId="77777777" w:rsidR="005D5EC9" w:rsidRDefault="001C513F">
      <w:pPr>
        <w:pStyle w:val="00Textogeralbullet"/>
        <w:numPr>
          <w:ilvl w:val="0"/>
          <w:numId w:val="1"/>
        </w:numPr>
      </w:pPr>
      <w:r>
        <w:t>Páginas 148 e 149 do Livro do Estudante.</w:t>
      </w:r>
    </w:p>
    <w:p w14:paraId="24FEB970" w14:textId="77777777" w:rsidR="005D5EC9" w:rsidRDefault="005D5EC9">
      <w:pPr>
        <w:pStyle w:val="00peso3"/>
        <w:rPr>
          <w:rFonts w:hint="eastAsia"/>
        </w:rPr>
      </w:pPr>
    </w:p>
    <w:p w14:paraId="5B1CD26E" w14:textId="77777777" w:rsidR="005D5EC9" w:rsidRDefault="001C513F">
      <w:pPr>
        <w:pStyle w:val="00peso3"/>
        <w:rPr>
          <w:rFonts w:hint="eastAsia"/>
          <w:color w:val="0070C0"/>
        </w:rPr>
      </w:pPr>
      <w:r>
        <w:t>Encaminhamento:</w:t>
      </w:r>
    </w:p>
    <w:p w14:paraId="7BC1B081" w14:textId="77777777" w:rsidR="005D5EC9" w:rsidRDefault="001C513F">
      <w:pPr>
        <w:pStyle w:val="00Textogeral"/>
      </w:pPr>
      <w:r>
        <w:t xml:space="preserve">Inicie a aula explicando que a sala de aula também pode ser observada </w:t>
      </w:r>
      <w:r w:rsidR="00FA6535">
        <w:t xml:space="preserve">de </w:t>
      </w:r>
      <w:r>
        <w:t xml:space="preserve">diferentes pontos de vista. Retome o conteúdo da aula anterior e explique que o ponto de vista de cima e de lado é chamado </w:t>
      </w:r>
      <w:r w:rsidR="00FA6535">
        <w:t xml:space="preserve">de </w:t>
      </w:r>
      <w:r>
        <w:t>visão oblíqua. Já o ponto de vista de cima é chamado de visão vertical. É importante trabalhar com os alunos a diferença entre visão oblíqua e visão vertical porque isso auxilia na leitura e confecção de representações espaciais, como mapas e maquetes.</w:t>
      </w:r>
    </w:p>
    <w:p w14:paraId="509D504E" w14:textId="77777777" w:rsidR="005D5EC9" w:rsidRDefault="001C513F">
      <w:pPr>
        <w:pStyle w:val="00Textogeral"/>
      </w:pPr>
      <w:r>
        <w:t xml:space="preserve">Peça aos alunos que observem a imagem da página 148 do Livro do Estudante, que representa uma sala de aula na visão oblíqua. Pergunte aos alunos: </w:t>
      </w:r>
      <w:r w:rsidR="00FA6535">
        <w:t>“</w:t>
      </w:r>
      <w:r>
        <w:t>Onde está o livro? E os cadernos? Onde estão os estojos? Há algum lápis fora do estojo?</w:t>
      </w:r>
      <w:r w:rsidR="00FA6535">
        <w:t>”</w:t>
      </w:r>
      <w:r>
        <w:t xml:space="preserve">. Os alunos devem responder oralmente </w:t>
      </w:r>
      <w:r w:rsidR="00FA6535">
        <w:t>às</w:t>
      </w:r>
      <w:r>
        <w:t xml:space="preserve"> perguntas, considerando referenciais espaciais de localização, como em cima, embaixo, dentro, fora, esquerda e direita.</w:t>
      </w:r>
    </w:p>
    <w:p w14:paraId="3E1E9B86" w14:textId="77777777" w:rsidR="005D5EC9" w:rsidRDefault="001C513F">
      <w:pPr>
        <w:pStyle w:val="00Textogeral"/>
      </w:pPr>
      <w:r>
        <w:t>Em seguida, peça</w:t>
      </w:r>
      <w:r w:rsidR="00FA6535">
        <w:t>-lhes</w:t>
      </w:r>
      <w:r>
        <w:t xml:space="preserve"> que observem</w:t>
      </w:r>
      <w:r w:rsidR="00FA6535">
        <w:t xml:space="preserve"> a</w:t>
      </w:r>
      <w:r>
        <w:t xml:space="preserve"> imagem da página 149 do Livro do Estudante</w:t>
      </w:r>
      <w:r w:rsidR="00FA6535">
        <w:t>,</w:t>
      </w:r>
      <w:r>
        <w:t xml:space="preserve"> que representa a mesma sala de aula da página anterior, mas na visão vertical. Pergunte aos alunos se eles conseguem perceber que se trata da mesma sala de aula representada anteriormente. Peça</w:t>
      </w:r>
      <w:r w:rsidR="00FA6535">
        <w:t xml:space="preserve">-lhes </w:t>
      </w:r>
      <w:r>
        <w:t xml:space="preserve">que justifiquem </w:t>
      </w:r>
      <w:r w:rsidR="00FA6535">
        <w:t>su</w:t>
      </w:r>
      <w:r>
        <w:t xml:space="preserve">as respostas. Depois, solicite </w:t>
      </w:r>
      <w:r w:rsidR="00FA6535">
        <w:t xml:space="preserve">aos alunos </w:t>
      </w:r>
      <w:r>
        <w:t xml:space="preserve">que respondam </w:t>
      </w:r>
      <w:r w:rsidR="00FA6535">
        <w:t>às</w:t>
      </w:r>
      <w:r>
        <w:t xml:space="preserve"> atividades 6 e 7, nas quais os alunos</w:t>
      </w:r>
      <w:r w:rsidR="00FA6535">
        <w:t xml:space="preserve"> devem</w:t>
      </w:r>
      <w:r>
        <w:t xml:space="preserve"> diferenciar a visão vertical da visão oblíqua.</w:t>
      </w:r>
      <w:r>
        <w:br w:type="page"/>
      </w:r>
    </w:p>
    <w:p w14:paraId="37413FB1" w14:textId="2A06313D" w:rsidR="005D5EC9" w:rsidRDefault="001C513F">
      <w:pPr>
        <w:pStyle w:val="00Peso4"/>
        <w:rPr>
          <w:rFonts w:hint="eastAsia"/>
        </w:rPr>
      </w:pPr>
      <w:r>
        <w:lastRenderedPageBreak/>
        <w:t>Atividade complementar</w:t>
      </w:r>
    </w:p>
    <w:p w14:paraId="5D35453D" w14:textId="77777777" w:rsidR="005D5EC9" w:rsidRDefault="001C513F">
      <w:pPr>
        <w:pStyle w:val="00Textogeral"/>
      </w:pPr>
      <w:r>
        <w:t>Proponha aos alunos a construção coletiva da maquete da sala de aula. Peça</w:t>
      </w:r>
      <w:r w:rsidR="008E0422">
        <w:t>-lhes</w:t>
      </w:r>
      <w:r>
        <w:t xml:space="preserve"> que providenciem uma caixa de papelão, caixinhas de vários tamanhos, tampinhas de garrafas, tesoura com ponta</w:t>
      </w:r>
      <w:r w:rsidR="008E0422">
        <w:t>s</w:t>
      </w:r>
      <w:r>
        <w:t xml:space="preserve"> arredondada</w:t>
      </w:r>
      <w:r w:rsidR="008E0422">
        <w:t>s</w:t>
      </w:r>
      <w:r>
        <w:t xml:space="preserve">, cola, lápis e </w:t>
      </w:r>
      <w:proofErr w:type="spellStart"/>
      <w:r>
        <w:t>canetinhas</w:t>
      </w:r>
      <w:proofErr w:type="spellEnd"/>
      <w:r>
        <w:t xml:space="preserve"> coloridas, papel para encapar e cartolina. Oriente-os a observa</w:t>
      </w:r>
      <w:r w:rsidR="008E0422">
        <w:t>r</w:t>
      </w:r>
      <w:r>
        <w:t xml:space="preserve"> a sala de aula e a elaborar um desenho representando a localização da porta, das janelas e dos móveis, além da disposição das carteiras. Em seguida, peça</w:t>
      </w:r>
      <w:r w:rsidR="008E0422">
        <w:t>-lhes</w:t>
      </w:r>
      <w:r>
        <w:t xml:space="preserve"> que recortem na caixa de papelão a porta e as janelas. Depois, peça</w:t>
      </w:r>
      <w:r w:rsidR="008E0422">
        <w:t>-lhes</w:t>
      </w:r>
      <w:r>
        <w:t xml:space="preserve"> que separem e encapem ou pintem os materiais que podem representar cada móvel e objeto. Oriente-os a posicionar cada móvel ou objeto no seu lugar, de acordo com a organização da sala de aula</w:t>
      </w:r>
      <w:r w:rsidR="008E0422">
        <w:t>,</w:t>
      </w:r>
      <w:r>
        <w:t xml:space="preserve"> e finalizem a maquete.</w:t>
      </w:r>
    </w:p>
    <w:p w14:paraId="5FAE0A21" w14:textId="77777777" w:rsidR="005D5EC9" w:rsidRDefault="005D5EC9">
      <w:pPr>
        <w:pStyle w:val="00Peso4"/>
        <w:rPr>
          <w:rFonts w:hint="eastAsia"/>
        </w:rPr>
      </w:pPr>
    </w:p>
    <w:p w14:paraId="32C76D14" w14:textId="77777777" w:rsidR="005D5EC9" w:rsidRDefault="001C513F">
      <w:pPr>
        <w:pStyle w:val="00Peso4"/>
        <w:rPr>
          <w:rFonts w:hint="eastAsia"/>
        </w:rPr>
      </w:pPr>
      <w:r>
        <w:t>Acompanhamento das aprendizagens</w:t>
      </w:r>
    </w:p>
    <w:p w14:paraId="27B070FC" w14:textId="77777777" w:rsidR="005D5EC9" w:rsidRDefault="001C513F" w:rsidP="00133326">
      <w:pPr>
        <w:pStyle w:val="00Textogeral"/>
      </w:pPr>
      <w:r>
        <w:t xml:space="preserve">Para avaliar a aprendizagem, proponha algumas atividades com a maquete. Peça </w:t>
      </w:r>
      <w:r w:rsidR="008E0422">
        <w:t>a</w:t>
      </w:r>
      <w:r>
        <w:t xml:space="preserve">os alunos </w:t>
      </w:r>
      <w:r w:rsidR="008E0422">
        <w:t xml:space="preserve">que </w:t>
      </w:r>
      <w:r>
        <w:t>identifiquem na maquete onde fica a sua carteira e pergunte a localização de alguns móveis ou objetos, explorando alguns referenciais espaciais</w:t>
      </w:r>
      <w:r w:rsidR="008E0422">
        <w:t>,</w:t>
      </w:r>
      <w:r>
        <w:t xml:space="preserve"> como frente, atrás, esquerda e direita.</w:t>
      </w:r>
    </w:p>
    <w:p w14:paraId="76A0DEB6" w14:textId="1A94F0BC" w:rsidR="00FA6535" w:rsidRDefault="00FA6535">
      <w:pPr>
        <w:rPr>
          <w:rFonts w:ascii="Cambria-Bold" w:hAnsi="Cambria-Bold" w:cs="Cambria-Bold" w:hint="eastAsia"/>
          <w:b/>
          <w:bCs/>
          <w:color w:val="F37020"/>
          <w:sz w:val="29"/>
          <w:szCs w:val="29"/>
          <w:lang w:val="pt-BR"/>
        </w:rPr>
      </w:pPr>
    </w:p>
    <w:p w14:paraId="148CDB17" w14:textId="0E97C34A" w:rsidR="00C76E99" w:rsidRPr="00635370" w:rsidRDefault="00117417" w:rsidP="00C76E99">
      <w:pPr>
        <w:pStyle w:val="00PESO2"/>
        <w:rPr>
          <w:rFonts w:hint="eastAsia"/>
          <w:color w:val="F37020"/>
        </w:rPr>
      </w:pPr>
      <w:r w:rsidRPr="00635370">
        <w:rPr>
          <w:color w:val="F37020"/>
        </w:rPr>
        <w:t>Mais sugestões para acompanhar o desenvolvimento dos alunos</w:t>
      </w:r>
    </w:p>
    <w:p w14:paraId="7ABDB547" w14:textId="77777777" w:rsidR="005D5EC9" w:rsidRDefault="005D5EC9">
      <w:pPr>
        <w:pStyle w:val="SemEspaamento"/>
        <w:rPr>
          <w:lang w:val="pt-BR"/>
        </w:rPr>
      </w:pPr>
    </w:p>
    <w:p w14:paraId="5AE06046" w14:textId="77777777" w:rsidR="005D5EC9" w:rsidRDefault="001C513F">
      <w:pPr>
        <w:pStyle w:val="textogeralboldsemrecuo"/>
      </w:pPr>
      <w:r>
        <w:t>1. Complete os espaços com as palavras do quadro a seguir.</w:t>
      </w:r>
    </w:p>
    <w:p w14:paraId="6CDA4474" w14:textId="77777777" w:rsidR="005D5EC9" w:rsidRDefault="005D5EC9">
      <w:pPr>
        <w:pStyle w:val="00Textogeral"/>
      </w:pPr>
    </w:p>
    <w:tbl>
      <w:tblPr>
        <w:tblStyle w:val="Tabelacomgrade"/>
        <w:tblW w:w="5386" w:type="dxa"/>
        <w:jc w:val="center"/>
        <w:tblCellMar>
          <w:left w:w="83" w:type="dxa"/>
        </w:tblCellMar>
        <w:tblLook w:val="04A0" w:firstRow="1" w:lastRow="0" w:firstColumn="1" w:lastColumn="0" w:noHBand="0" w:noVBand="1"/>
      </w:tblPr>
      <w:tblGrid>
        <w:gridCol w:w="5386"/>
      </w:tblGrid>
      <w:tr w:rsidR="005D5EC9" w14:paraId="4DDBAFF5" w14:textId="77777777">
        <w:trPr>
          <w:trHeight w:val="20"/>
          <w:jc w:val="center"/>
        </w:trPr>
        <w:tc>
          <w:tcPr>
            <w:tcW w:w="5386" w:type="dxa"/>
            <w:shd w:val="clear" w:color="auto" w:fill="auto"/>
            <w:tcMar>
              <w:left w:w="83" w:type="dxa"/>
            </w:tcMar>
            <w:vAlign w:val="center"/>
          </w:tcPr>
          <w:p w14:paraId="0C810CFB" w14:textId="77777777" w:rsidR="005D5EC9" w:rsidRDefault="001C513F">
            <w:pPr>
              <w:spacing w:before="120" w:afterAutospacing="1" w:line="360" w:lineRule="auto"/>
              <w:jc w:val="center"/>
              <w:rPr>
                <w:rFonts w:eastAsia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oblíqua</w:t>
            </w:r>
            <w:r>
              <w:rPr>
                <w:rFonts w:ascii="Arial" w:eastAsia="Arial" w:hAnsi="Arial" w:cs="Arial"/>
                <w:lang w:val="pt-BR"/>
              </w:rPr>
              <w:tab/>
            </w:r>
            <w:r>
              <w:rPr>
                <w:rFonts w:ascii="Arial" w:eastAsia="Arial" w:hAnsi="Arial" w:cs="Arial"/>
                <w:lang w:val="pt-BR"/>
              </w:rPr>
              <w:tab/>
              <w:t>vertical</w:t>
            </w:r>
          </w:p>
        </w:tc>
      </w:tr>
    </w:tbl>
    <w:p w14:paraId="7FFA1B5F" w14:textId="77777777" w:rsidR="005D5EC9" w:rsidRDefault="005D5EC9">
      <w:pPr>
        <w:pStyle w:val="00Textogeral"/>
      </w:pPr>
    </w:p>
    <w:p w14:paraId="38F915C1" w14:textId="39AD56D1" w:rsidR="005D5EC9" w:rsidRDefault="001C513F">
      <w:pPr>
        <w:pStyle w:val="00textosemparagrafo"/>
      </w:pPr>
      <w:r>
        <w:t>a) Na visão ___________________________ a representação é vista de cima e de lado.</w:t>
      </w:r>
    </w:p>
    <w:p w14:paraId="49E85EC0" w14:textId="77777777" w:rsidR="003072D9" w:rsidRDefault="003072D9">
      <w:pPr>
        <w:pStyle w:val="00textosemparagrafo"/>
      </w:pPr>
    </w:p>
    <w:p w14:paraId="46C46BE6" w14:textId="77777777" w:rsidR="005D5EC9" w:rsidRDefault="001C513F">
      <w:pPr>
        <w:pStyle w:val="00textosemparagrafo"/>
      </w:pPr>
      <w:r>
        <w:t>b) Na visão ___________________________ a representação é vista de cima para baixo.</w:t>
      </w:r>
    </w:p>
    <w:p w14:paraId="786C27C6" w14:textId="77777777" w:rsidR="005D5EC9" w:rsidRDefault="005D5EC9">
      <w:pPr>
        <w:pStyle w:val="textogeralboldsemrecuo"/>
      </w:pPr>
    </w:p>
    <w:p w14:paraId="683ED33C" w14:textId="15C739A8" w:rsidR="005D5EC9" w:rsidRDefault="001C513F">
      <w:pPr>
        <w:pStyle w:val="textogeralboldsemrecuo"/>
      </w:pPr>
      <w:r>
        <w:t>2. Em qual ponto de vista o objeto a seguir está representado?</w:t>
      </w:r>
    </w:p>
    <w:p w14:paraId="4D3A8BD3" w14:textId="43DF11BC" w:rsidR="005D5EC9" w:rsidRDefault="00E06D0A" w:rsidP="00607D07">
      <w:pPr>
        <w:pStyle w:val="00Textogeral"/>
        <w:jc w:val="center"/>
      </w:pPr>
      <w:r>
        <w:rPr>
          <w:noProof/>
        </w:rPr>
        <w:drawing>
          <wp:inline distT="0" distB="0" distL="0" distR="0" wp14:anchorId="5FB82A25" wp14:editId="71D16420">
            <wp:extent cx="1981200" cy="1981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f_PBCHN2_MD_LT4_4bim_SD2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EE20" w14:textId="77777777" w:rsidR="005D5EC9" w:rsidRDefault="001C513F">
      <w:pPr>
        <w:pStyle w:val="00Textogeralbullet"/>
        <w:numPr>
          <w:ilvl w:val="0"/>
          <w:numId w:val="1"/>
        </w:numPr>
      </w:pPr>
      <w:r>
        <w:t xml:space="preserve">No caderno, desenhe esse objeto </w:t>
      </w:r>
      <w:r w:rsidR="008E0422">
        <w:t>d</w:t>
      </w:r>
      <w:r>
        <w:t xml:space="preserve">o outro ponto de vista.  </w:t>
      </w:r>
    </w:p>
    <w:p w14:paraId="23461E9D" w14:textId="77777777" w:rsidR="005D5EC9" w:rsidRDefault="005D5EC9">
      <w:pPr>
        <w:pStyle w:val="00peso3"/>
        <w:rPr>
          <w:rFonts w:eastAsia="Arial"/>
        </w:rPr>
      </w:pPr>
    </w:p>
    <w:p w14:paraId="54113078" w14:textId="77777777" w:rsidR="005D5EC9" w:rsidRDefault="001C513F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14:paraId="327D57B7" w14:textId="77777777" w:rsidR="005D5EC9" w:rsidRDefault="001C513F">
      <w:pPr>
        <w:pStyle w:val="Textogeralsemrecuo"/>
      </w:pPr>
      <w:r>
        <w:rPr>
          <w:b/>
        </w:rPr>
        <w:t>1.</w:t>
      </w:r>
      <w:r>
        <w:t xml:space="preserve"> </w:t>
      </w:r>
      <w:r>
        <w:rPr>
          <w:b/>
        </w:rPr>
        <w:t xml:space="preserve">a) </w:t>
      </w:r>
      <w:r>
        <w:t>oblíqua.</w:t>
      </w:r>
      <w:r>
        <w:rPr>
          <w:b/>
        </w:rPr>
        <w:t xml:space="preserve"> b) </w:t>
      </w:r>
      <w:r>
        <w:t>vertical.</w:t>
      </w:r>
    </w:p>
    <w:p w14:paraId="0D9AE572" w14:textId="77777777" w:rsidR="005D5EC9" w:rsidRDefault="001C513F">
      <w:pPr>
        <w:pStyle w:val="Textogeralsemrecuo"/>
      </w:pPr>
      <w:r>
        <w:rPr>
          <w:b/>
        </w:rPr>
        <w:t>2.</w:t>
      </w:r>
      <w:r>
        <w:t xml:space="preserve"> O objeto está representado no ponto de vista de cima e de lado, isto é, na visão oblíqua.</w:t>
      </w:r>
    </w:p>
    <w:p w14:paraId="0A60F15A" w14:textId="77777777" w:rsidR="00FA6535" w:rsidRDefault="00FA6535">
      <w:pPr>
        <w:rPr>
          <w:rFonts w:ascii="Cambria-Bold" w:hAnsi="Cambria-Bold" w:cs="Cambria-Bold" w:hint="eastAsia"/>
          <w:b/>
          <w:bCs/>
          <w:color w:val="F37020"/>
          <w:sz w:val="29"/>
          <w:szCs w:val="29"/>
          <w:lang w:val="pt-BR"/>
        </w:rPr>
      </w:pPr>
      <w:r w:rsidRPr="001E1805">
        <w:rPr>
          <w:rFonts w:ascii="Cambria-Bold" w:hAnsi="Cambria-Bold" w:cs="Cambria-Bold"/>
          <w:bCs/>
          <w:caps/>
          <w:sz w:val="29"/>
          <w:szCs w:val="29"/>
          <w:lang w:val="pt-BR"/>
        </w:rPr>
        <w:br w:type="page"/>
      </w:r>
    </w:p>
    <w:p w14:paraId="4417C03E" w14:textId="77CE989C" w:rsidR="005D5EC9" w:rsidRPr="00C76E99" w:rsidRDefault="00117417">
      <w:pPr>
        <w:pStyle w:val="00cabeos"/>
        <w:rPr>
          <w:rFonts w:ascii="Cambria-Bold" w:hAnsi="Cambria-Bold" w:cs="Cambria-Bold" w:hint="eastAsia"/>
          <w:bCs/>
          <w:caps w:val="0"/>
          <w:sz w:val="29"/>
          <w:szCs w:val="29"/>
        </w:rPr>
      </w:pPr>
      <w:proofErr w:type="spellStart"/>
      <w:r w:rsidRPr="00C76E99">
        <w:rPr>
          <w:rFonts w:ascii="Cambria-Bold" w:hAnsi="Cambria-Bold" w:cs="Cambria-Bold"/>
          <w:bCs/>
          <w:caps w:val="0"/>
          <w:sz w:val="29"/>
          <w:szCs w:val="29"/>
        </w:rPr>
        <w:lastRenderedPageBreak/>
        <w:t>Autoavaliação</w:t>
      </w:r>
      <w:proofErr w:type="spellEnd"/>
    </w:p>
    <w:p w14:paraId="5E36ED5A" w14:textId="77777777" w:rsidR="005D5EC9" w:rsidRDefault="005D5EC9">
      <w:pPr>
        <w:pStyle w:val="SemEspaamento"/>
        <w:rPr>
          <w:rFonts w:eastAsia="Arial"/>
          <w:lang w:val="pt-BR"/>
        </w:rPr>
      </w:pPr>
    </w:p>
    <w:tbl>
      <w:tblPr>
        <w:tblStyle w:val="tabelaautoavaliacao"/>
        <w:tblW w:w="9645" w:type="dxa"/>
        <w:tblInd w:w="109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3856"/>
        <w:gridCol w:w="1590"/>
        <w:gridCol w:w="2400"/>
        <w:gridCol w:w="1799"/>
      </w:tblGrid>
      <w:tr w:rsidR="005D5EC9" w14:paraId="184D71C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55" w:type="dxa"/>
            <w:shd w:val="clear" w:color="auto" w:fill="auto"/>
            <w:tcMar>
              <w:left w:w="83" w:type="dxa"/>
            </w:tcMar>
          </w:tcPr>
          <w:p w14:paraId="7C3C85EF" w14:textId="6E9F0F45" w:rsidR="005D5EC9" w:rsidRDefault="00A87B89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Marque a opção que melhor define o que você sente para responder </w:t>
            </w:r>
            <w:r w:rsidR="00860188">
              <w:rPr>
                <w:rFonts w:ascii="Tahoma" w:hAnsi="Tahoma"/>
                <w:caps w:val="0"/>
                <w:sz w:val="20"/>
                <w:lang w:val="pt-BR"/>
              </w:rPr>
              <w:t xml:space="preserve">a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cada questão.</w:t>
            </w:r>
          </w:p>
        </w:tc>
        <w:tc>
          <w:tcPr>
            <w:tcW w:w="1590" w:type="dxa"/>
            <w:shd w:val="clear" w:color="auto" w:fill="auto"/>
            <w:tcMar>
              <w:left w:w="83" w:type="dxa"/>
            </w:tcMar>
          </w:tcPr>
          <w:p w14:paraId="38EB25C6" w14:textId="04E1EF7D" w:rsidR="005D5EC9" w:rsidRDefault="00A87B8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  <w:sz w:val="20"/>
              </w:rPr>
              <w:t>Sim</w:t>
            </w:r>
          </w:p>
        </w:tc>
        <w:tc>
          <w:tcPr>
            <w:tcW w:w="2400" w:type="dxa"/>
            <w:shd w:val="clear" w:color="auto" w:fill="auto"/>
            <w:tcMar>
              <w:left w:w="83" w:type="dxa"/>
            </w:tcMar>
          </w:tcPr>
          <w:p w14:paraId="3014F1D3" w14:textId="14804ABC" w:rsidR="005D5EC9" w:rsidRDefault="00A87B89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Mais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ou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menos</w:t>
            </w:r>
            <w:proofErr w:type="spellEnd"/>
          </w:p>
        </w:tc>
        <w:tc>
          <w:tcPr>
            <w:tcW w:w="1799" w:type="dxa"/>
            <w:shd w:val="clear" w:color="auto" w:fill="auto"/>
            <w:tcMar>
              <w:left w:w="83" w:type="dxa"/>
            </w:tcMar>
          </w:tcPr>
          <w:p w14:paraId="2E8DFDC6" w14:textId="0F823A38" w:rsidR="005D5EC9" w:rsidRDefault="00A87B89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Não</w:t>
            </w:r>
            <w:proofErr w:type="spellEnd"/>
          </w:p>
        </w:tc>
      </w:tr>
      <w:tr w:rsidR="005D5EC9" w:rsidRPr="001A6D68" w14:paraId="478B0B88" w14:textId="77777777">
        <w:trPr>
          <w:trHeight w:val="1247"/>
        </w:trPr>
        <w:tc>
          <w:tcPr>
            <w:tcW w:w="3855" w:type="dxa"/>
            <w:shd w:val="clear" w:color="auto" w:fill="auto"/>
            <w:tcMar>
              <w:left w:w="83" w:type="dxa"/>
            </w:tcMar>
          </w:tcPr>
          <w:p w14:paraId="6E124810" w14:textId="4862E7C8" w:rsidR="005D5EC9" w:rsidRDefault="00A87B89">
            <w:pPr>
              <w:rPr>
                <w:lang w:val="pt-BR"/>
              </w:rPr>
            </w:pPr>
            <w:bookmarkStart w:id="9" w:name="_GoBack" w:colFirst="0" w:colLast="0"/>
            <w:r>
              <w:rPr>
                <w:rFonts w:ascii="Tahoma" w:hAnsi="Tahoma"/>
                <w:caps w:val="0"/>
                <w:sz w:val="20"/>
                <w:lang w:val="pt-BR"/>
              </w:rPr>
              <w:t xml:space="preserve">1. Compreendi que há diferentes pontos de vista para observar um objeto? </w:t>
            </w:r>
          </w:p>
        </w:tc>
        <w:tc>
          <w:tcPr>
            <w:tcW w:w="1590" w:type="dxa"/>
            <w:shd w:val="clear" w:color="auto" w:fill="auto"/>
            <w:tcMar>
              <w:left w:w="83" w:type="dxa"/>
            </w:tcMar>
          </w:tcPr>
          <w:p w14:paraId="4E63822D" w14:textId="77777777" w:rsidR="005D5EC9" w:rsidRDefault="005D5EC9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3" w:type="dxa"/>
            </w:tcMar>
          </w:tcPr>
          <w:p w14:paraId="5A85D5A2" w14:textId="77777777" w:rsidR="005D5EC9" w:rsidRDefault="005D5EC9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99" w:type="dxa"/>
            <w:shd w:val="clear" w:color="auto" w:fill="auto"/>
            <w:tcMar>
              <w:left w:w="83" w:type="dxa"/>
            </w:tcMar>
          </w:tcPr>
          <w:p w14:paraId="5B618729" w14:textId="77777777" w:rsidR="005D5EC9" w:rsidRDefault="005D5EC9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5D5EC9" w:rsidRPr="001A6D68" w14:paraId="57984DCE" w14:textId="77777777">
        <w:trPr>
          <w:trHeight w:val="1247"/>
        </w:trPr>
        <w:tc>
          <w:tcPr>
            <w:tcW w:w="3855" w:type="dxa"/>
            <w:shd w:val="clear" w:color="auto" w:fill="auto"/>
            <w:tcMar>
              <w:left w:w="83" w:type="dxa"/>
            </w:tcMar>
          </w:tcPr>
          <w:p w14:paraId="3C463FDE" w14:textId="28A9BBB8" w:rsidR="005D5EC9" w:rsidRDefault="00A87B89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2</w:t>
            </w:r>
            <w:r w:rsidR="001A6D68">
              <w:rPr>
                <w:rFonts w:ascii="Tahoma" w:hAnsi="Tahoma"/>
                <w:caps w:val="0"/>
                <w:sz w:val="20"/>
                <w:lang w:val="pt-BR"/>
              </w:rPr>
              <w:t>.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="004F2B9B">
              <w:rPr>
                <w:rFonts w:ascii="Tahoma" w:hAnsi="Tahoma"/>
                <w:caps w:val="0"/>
                <w:sz w:val="20"/>
                <w:lang w:val="pt-BR"/>
              </w:rPr>
              <w:t>P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ercebi que é possível desenhar na visão oblíqua?</w:t>
            </w:r>
          </w:p>
        </w:tc>
        <w:tc>
          <w:tcPr>
            <w:tcW w:w="1590" w:type="dxa"/>
            <w:shd w:val="clear" w:color="auto" w:fill="auto"/>
            <w:tcMar>
              <w:left w:w="83" w:type="dxa"/>
            </w:tcMar>
          </w:tcPr>
          <w:p w14:paraId="6E0CEADB" w14:textId="77777777" w:rsidR="005D5EC9" w:rsidRDefault="005D5EC9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3" w:type="dxa"/>
            </w:tcMar>
          </w:tcPr>
          <w:p w14:paraId="009AD125" w14:textId="77777777" w:rsidR="005D5EC9" w:rsidRDefault="005D5EC9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99" w:type="dxa"/>
            <w:shd w:val="clear" w:color="auto" w:fill="auto"/>
            <w:tcMar>
              <w:left w:w="83" w:type="dxa"/>
            </w:tcMar>
          </w:tcPr>
          <w:p w14:paraId="4E56160A" w14:textId="77777777" w:rsidR="005D5EC9" w:rsidRDefault="005D5EC9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5D5EC9" w:rsidRPr="001A6D68" w14:paraId="7D78CC8C" w14:textId="77777777">
        <w:trPr>
          <w:trHeight w:val="1247"/>
        </w:trPr>
        <w:tc>
          <w:tcPr>
            <w:tcW w:w="3855" w:type="dxa"/>
            <w:shd w:val="clear" w:color="auto" w:fill="auto"/>
            <w:tcMar>
              <w:left w:w="83" w:type="dxa"/>
            </w:tcMar>
          </w:tcPr>
          <w:p w14:paraId="08EDCAC8" w14:textId="1F8885DC" w:rsidR="005D5EC9" w:rsidRDefault="001C513F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3. </w:t>
            </w:r>
            <w:r w:rsidR="00A87B89">
              <w:rPr>
                <w:rFonts w:ascii="Tahoma" w:hAnsi="Tahoma"/>
                <w:caps w:val="0"/>
                <w:sz w:val="20"/>
                <w:lang w:val="pt-BR"/>
              </w:rPr>
              <w:t>Percebi que é possível desenhar na visão vertical?</w:t>
            </w:r>
          </w:p>
        </w:tc>
        <w:tc>
          <w:tcPr>
            <w:tcW w:w="1590" w:type="dxa"/>
            <w:shd w:val="clear" w:color="auto" w:fill="auto"/>
            <w:tcMar>
              <w:left w:w="83" w:type="dxa"/>
            </w:tcMar>
          </w:tcPr>
          <w:p w14:paraId="25890033" w14:textId="77777777" w:rsidR="005D5EC9" w:rsidRDefault="005D5EC9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3" w:type="dxa"/>
            </w:tcMar>
          </w:tcPr>
          <w:p w14:paraId="13D95815" w14:textId="77777777" w:rsidR="005D5EC9" w:rsidRDefault="005D5EC9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99" w:type="dxa"/>
            <w:shd w:val="clear" w:color="auto" w:fill="auto"/>
            <w:tcMar>
              <w:left w:w="83" w:type="dxa"/>
            </w:tcMar>
          </w:tcPr>
          <w:p w14:paraId="1414CFE9" w14:textId="77777777" w:rsidR="005D5EC9" w:rsidRDefault="005D5EC9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bookmarkEnd w:id="9"/>
    </w:tbl>
    <w:p w14:paraId="1E4C0BD3" w14:textId="77777777" w:rsidR="005D5EC9" w:rsidRPr="00607D07" w:rsidRDefault="005D5EC9">
      <w:pPr>
        <w:rPr>
          <w:lang w:val="pt-BR"/>
        </w:rPr>
      </w:pPr>
    </w:p>
    <w:sectPr w:rsidR="005D5EC9" w:rsidRPr="00607D07">
      <w:headerReference w:type="default" r:id="rId9"/>
      <w:footerReference w:type="default" r:id="rId10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A9A4B" w14:textId="77777777" w:rsidR="0031517F" w:rsidRDefault="0031517F">
      <w:r>
        <w:separator/>
      </w:r>
    </w:p>
  </w:endnote>
  <w:endnote w:type="continuationSeparator" w:id="0">
    <w:p w14:paraId="029FF3ED" w14:textId="77777777" w:rsidR="0031517F" w:rsidRDefault="00315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49BB215-80E7-444D-A37E-2FA354129B93}"/>
    <w:embedBold r:id="rId2" w:fontKey="{6C253F10-26D8-4EA0-9A7F-01C9A7F0FBD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9700A10-E064-49DA-B9CE-06E70DAD2700}"/>
    <w:embedBold r:id="rId4" w:fontKey="{79CD6764-8840-493C-B475-398E2BBD074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6B61E75-F2C5-4660-9F2D-C98B4160D8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C781CDC-B22F-4C03-B817-E004E0D353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F882C1A9-7911-4913-BCFC-A94F2E262446}"/>
    <w:embedBold r:id="rId8" w:fontKey="{A517681C-F604-4526-A145-4DFE6FB98314}"/>
    <w:embedItalic r:id="rId9" w:fontKey="{65E037DD-9F8F-4B86-9E2A-AB0076182FF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E0F9BA5C-5CF2-4BB9-8D5D-CE36987212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30F1298-56A0-4465-BCBA-8B23F1E47B43}"/>
    <w:embedBold r:id="rId12" w:fontKey="{29B21FC7-6280-4F55-82C8-942DB658053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F636D176-751A-4D80-9118-C7289E0F8E5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3A84C5D0-4B8E-467A-A3F4-26549D609F2B}"/>
    <w:embedItalic r:id="rId15" w:fontKey="{0CC8FE18-BB76-4214-B084-1C756EFAC6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1E6FEC1-6B5B-41FD-96C9-4C04963F14AE}"/>
    <w:embedBold r:id="rId17" w:fontKey="{074212E1-2DD4-4E71-8767-57068736C705}"/>
    <w:embedItalic r:id="rId18" w:fontKey="{009C36D1-ADB6-4D1C-9D59-AEB7A59782A3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871123A7-CB83-4379-AD36-6C412FBC96F7}"/>
  </w:font>
  <w:font w:name="Cambria-BoldItalic">
    <w:altName w:val="Cambria"/>
    <w:charset w:val="00"/>
    <w:family w:val="roman"/>
    <w:pitch w:val="variable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0F5D5AE1-80D6-4274-85F0-325572A1D9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B2EB9" w14:textId="4F4B6192" w:rsidR="0013744A" w:rsidRDefault="0013744A" w:rsidP="00C76E99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682C4E70" w14:textId="35E70528" w:rsidR="0013744A" w:rsidRDefault="0013744A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1A6D68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C9B56" w14:textId="77777777" w:rsidR="0031517F" w:rsidRDefault="0031517F">
      <w:r>
        <w:separator/>
      </w:r>
    </w:p>
  </w:footnote>
  <w:footnote w:type="continuationSeparator" w:id="0">
    <w:p w14:paraId="4825AB5B" w14:textId="77777777" w:rsidR="0031517F" w:rsidRDefault="00315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F8C14" w14:textId="37E98F1A" w:rsidR="0013744A" w:rsidRDefault="001E1805">
    <w:pPr>
      <w:ind w:right="360"/>
    </w:pPr>
    <w:r>
      <w:rPr>
        <w:noProof/>
      </w:rPr>
      <w:drawing>
        <wp:inline distT="0" distB="0" distL="0" distR="0" wp14:anchorId="16239956" wp14:editId="66C0B28C">
          <wp:extent cx="5940000" cy="288000"/>
          <wp:effectExtent l="0" t="0" r="0" b="0"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CHG2_MD_4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6087F"/>
    <w:multiLevelType w:val="multilevel"/>
    <w:tmpl w:val="4AF615D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1E6444"/>
    <w:multiLevelType w:val="multilevel"/>
    <w:tmpl w:val="A6826EA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EC9"/>
    <w:rsid w:val="00014AFB"/>
    <w:rsid w:val="00046BE2"/>
    <w:rsid w:val="00117417"/>
    <w:rsid w:val="00133326"/>
    <w:rsid w:val="0013744A"/>
    <w:rsid w:val="00174027"/>
    <w:rsid w:val="001A6D68"/>
    <w:rsid w:val="001C513F"/>
    <w:rsid w:val="001D70A9"/>
    <w:rsid w:val="001E1805"/>
    <w:rsid w:val="002B52CC"/>
    <w:rsid w:val="002D7CB2"/>
    <w:rsid w:val="003072D9"/>
    <w:rsid w:val="0031517F"/>
    <w:rsid w:val="003B1D89"/>
    <w:rsid w:val="00493B10"/>
    <w:rsid w:val="004F2B9B"/>
    <w:rsid w:val="00501766"/>
    <w:rsid w:val="005D5EC9"/>
    <w:rsid w:val="00607D07"/>
    <w:rsid w:val="00637531"/>
    <w:rsid w:val="00677A8E"/>
    <w:rsid w:val="007219B4"/>
    <w:rsid w:val="0076160A"/>
    <w:rsid w:val="00816014"/>
    <w:rsid w:val="0084431B"/>
    <w:rsid w:val="00860188"/>
    <w:rsid w:val="008E0422"/>
    <w:rsid w:val="008F2826"/>
    <w:rsid w:val="00943BD3"/>
    <w:rsid w:val="00A800BB"/>
    <w:rsid w:val="00A87B89"/>
    <w:rsid w:val="00AE3D38"/>
    <w:rsid w:val="00AF2B39"/>
    <w:rsid w:val="00B92739"/>
    <w:rsid w:val="00C22C8D"/>
    <w:rsid w:val="00C76E99"/>
    <w:rsid w:val="00E06D0A"/>
    <w:rsid w:val="00E536C0"/>
    <w:rsid w:val="00FA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91F589"/>
  <w15:docId w15:val="{693BB285-278B-4805-9095-FC9C1CBA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DE21F2"/>
    <w:rPr>
      <w:rFonts w:ascii="Arial" w:hAnsi="Arial" w:cs="Arial"/>
      <w:u w:val="single"/>
      <w:lang w:val="pt-BR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90FF2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90FF2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6">
    <w:name w:val="ListLabel 16"/>
    <w:qFormat/>
    <w:rPr>
      <w:rFonts w:cs="Symbol"/>
      <w:b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  <w:b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  <w:b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  <w:b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2D1FAA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F579DC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D45EB6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DE21F2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DE21F2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90FF2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6E55E8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geralsemrecuo">
    <w:name w:val="Texto_geral_sem_recuo"/>
    <w:basedOn w:val="00Textogeral"/>
    <w:qFormat/>
    <w:rsid w:val="00005607"/>
    <w:pPr>
      <w:ind w:firstLine="0"/>
    </w:pPr>
    <w:rPr>
      <w:rFonts w:eastAsia="Arial"/>
    </w:rPr>
  </w:style>
  <w:style w:type="paragraph" w:customStyle="1" w:styleId="textogeralboldsemrecuo">
    <w:name w:val="texto_geral_bold_sem_recuo"/>
    <w:basedOn w:val="00Textogeral"/>
    <w:qFormat/>
    <w:rsid w:val="00005607"/>
    <w:pPr>
      <w:ind w:firstLine="0"/>
    </w:pPr>
    <w:rPr>
      <w:b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D23997-EC7E-43F8-B157-17DF6C0E6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988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6</cp:revision>
  <cp:lastPrinted>2017-10-23T20:25:00Z</cp:lastPrinted>
  <dcterms:created xsi:type="dcterms:W3CDTF">2017-12-19T13:47:00Z</dcterms:created>
  <dcterms:modified xsi:type="dcterms:W3CDTF">2017-12-26T16:11:00Z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