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450" w:rsidRDefault="00812D62">
      <w:pPr>
        <w:pStyle w:val="00cabeos"/>
      </w:pPr>
      <w:r>
        <w:t>Gabarito da avaliação – 3º Bimestre</w:t>
      </w:r>
    </w:p>
    <w:p w:rsidR="008A7450" w:rsidRDefault="008A7450">
      <w:pPr>
        <w:pStyle w:val="SemEspaamento"/>
        <w:rPr>
          <w:lang w:val="pt-BR"/>
        </w:rPr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>1. Alternativa A.</w:t>
      </w:r>
    </w:p>
    <w:p w:rsidR="008A7450" w:rsidRDefault="00812D62">
      <w:pPr>
        <w:pStyle w:val="00textosemparagrafo"/>
        <w:ind w:firstLine="567"/>
      </w:pPr>
      <w:r>
        <w:t xml:space="preserve">Caso os alunos encontrem alguma dificuldade em responder a atividade, </w:t>
      </w:r>
      <w:r w:rsidR="003D5643">
        <w:t>oriente-os a desenharem uma pessoa em frente a farmácia</w:t>
      </w:r>
      <w:r>
        <w:t xml:space="preserve">. Nessa faixa etária, </w:t>
      </w:r>
      <w:r w:rsidR="003D5643">
        <w:t>eles</w:t>
      </w:r>
      <w:r>
        <w:t xml:space="preserve"> começam a desenvolver as relações espaciais projetivas, por isso é importante que eles consigam associar a localização dos elementos utilizando a lateralidade (</w:t>
      </w:r>
      <w:r w:rsidR="003D5643">
        <w:t xml:space="preserve">entre, </w:t>
      </w:r>
      <w:r>
        <w:t>esquerda</w:t>
      </w:r>
      <w:r w:rsidR="003D5643">
        <w:t xml:space="preserve"> e</w:t>
      </w:r>
      <w:r>
        <w:t xml:space="preserve"> direta).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2. 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a) Quem vai receber a carta é Caio Gomes.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b) Quem enviou a carta foi Luana Maia.</w:t>
      </w:r>
    </w:p>
    <w:p w:rsidR="008A7450" w:rsidRDefault="00812D62">
      <w:pPr>
        <w:pStyle w:val="00textosemparagrafo"/>
        <w:rPr>
          <w:b/>
        </w:rPr>
      </w:pPr>
      <w:r>
        <w:rPr>
          <w:b/>
          <w:spacing w:val="-2"/>
        </w:rPr>
        <w:t xml:space="preserve">c) </w:t>
      </w:r>
      <w:r w:rsidR="003D5643">
        <w:rPr>
          <w:b/>
          <w:spacing w:val="-2"/>
        </w:rPr>
        <w:t>A partir</w:t>
      </w:r>
      <w:r>
        <w:rPr>
          <w:b/>
          <w:spacing w:val="-2"/>
        </w:rPr>
        <w:t xml:space="preserve"> </w:t>
      </w:r>
      <w:r w:rsidR="003D5643">
        <w:rPr>
          <w:b/>
          <w:spacing w:val="-2"/>
        </w:rPr>
        <w:t>d</w:t>
      </w:r>
      <w:r>
        <w:rPr>
          <w:b/>
          <w:spacing w:val="-2"/>
        </w:rPr>
        <w:t>as informações do envelope é possível perceber que Caio e Luana não moram no mesmo bairro. Caio mora no bairro das Aves e Luana mora no bairro das Árvores.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d) O carteiro usa as informações do endereço.</w:t>
      </w:r>
    </w:p>
    <w:p w:rsidR="008A7450" w:rsidRDefault="00812D62">
      <w:pPr>
        <w:pStyle w:val="00textosemparagrafo"/>
        <w:ind w:firstLine="567"/>
      </w:pPr>
      <w:r>
        <w:t xml:space="preserve">Caso os alunos apresentem dificuldades </w:t>
      </w:r>
      <w:r w:rsidR="005142E6">
        <w:t xml:space="preserve">para </w:t>
      </w:r>
      <w:r>
        <w:t xml:space="preserve">responder </w:t>
      </w:r>
      <w:r w:rsidR="005142E6">
        <w:t xml:space="preserve">às </w:t>
      </w:r>
      <w:r>
        <w:t>perguntas, retome o conteúdo da página 90 do Livro do Estudante, que apresenta a importância do endereço</w:t>
      </w:r>
      <w:r w:rsidR="003D5643">
        <w:t xml:space="preserve"> para localizar as moradias no bairro</w:t>
      </w:r>
      <w:r>
        <w:t xml:space="preserve"> e como são enviadas as cartas, mostrando todas as informações que devem conter no envelope, como remetente e destinatário.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>3. Resposta pessoa</w:t>
      </w:r>
      <w:r w:rsidR="005142E6">
        <w:rPr>
          <w:b/>
        </w:rPr>
        <w:t>l</w:t>
      </w:r>
      <w:r>
        <w:rPr>
          <w:b/>
        </w:rPr>
        <w:t>.</w:t>
      </w:r>
    </w:p>
    <w:p w:rsidR="008A7450" w:rsidRDefault="00812D62">
      <w:pPr>
        <w:pStyle w:val="00textosemparagrafo"/>
        <w:ind w:firstLine="567"/>
      </w:pPr>
      <w:r>
        <w:t xml:space="preserve">A partir da vivência dos alunos, a atividade propõe um trabalho combinado entre pontos de referência e lateralidade, exercitando a capacidade de representação de uma parte do bairro. Avalie se os alunos compreenderem o que é um ponto de referência e fique atento </w:t>
      </w:r>
      <w:r w:rsidR="005142E6">
        <w:t>à</w:t>
      </w:r>
      <w:r>
        <w:t xml:space="preserve"> localização desses elementos.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4. Alternativa </w:t>
      </w:r>
      <w:r w:rsidR="003D5643">
        <w:rPr>
          <w:b/>
        </w:rPr>
        <w:t>C</w:t>
      </w:r>
      <w:r>
        <w:rPr>
          <w:b/>
        </w:rPr>
        <w:t>.</w:t>
      </w:r>
    </w:p>
    <w:p w:rsidR="008A7450" w:rsidRDefault="00812D62">
      <w:pPr>
        <w:pStyle w:val="00textosemparagrafo"/>
        <w:ind w:firstLine="567"/>
      </w:pPr>
      <w:r>
        <w:t>Por meio da análise das imagens, os alunos devem perceber que os bairros mudam ao longo do tempo. Caso eles apresentem dificuldade em ordenar as imagens, retome o conteúdo da</w:t>
      </w:r>
      <w:r w:rsidR="003D5643">
        <w:t>s</w:t>
      </w:r>
      <w:r>
        <w:t xml:space="preserve"> página</w:t>
      </w:r>
      <w:r w:rsidR="003D5643">
        <w:t>s</w:t>
      </w:r>
      <w:r>
        <w:t xml:space="preserve"> 94 e 95 do Livro do Estudante, que apresenta algumas mudanças na </w:t>
      </w:r>
      <w:r w:rsidR="005142E6">
        <w:t xml:space="preserve">rua </w:t>
      </w:r>
      <w:r>
        <w:t>Florêncio de Abreu, localizada no município de São Paulo, no estado de São Paulo.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5. 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a) </w:t>
      </w:r>
      <w:r w:rsidR="003D5643">
        <w:rPr>
          <w:b/>
        </w:rPr>
        <w:t>No lugar do mercado, antes existia uma quitanda</w:t>
      </w:r>
      <w:r>
        <w:rPr>
          <w:b/>
        </w:rPr>
        <w:t xml:space="preserve">. Ricardo se lembra de ver pessoas saindo </w:t>
      </w:r>
      <w:r w:rsidR="003D5643">
        <w:rPr>
          <w:b/>
        </w:rPr>
        <w:t>da quitanda</w:t>
      </w:r>
      <w:r>
        <w:rPr>
          <w:b/>
        </w:rPr>
        <w:t xml:space="preserve"> com muitas frutas diferentes e cheirosas.</w:t>
      </w:r>
    </w:p>
    <w:p w:rsidR="00AF1E30" w:rsidRDefault="00812D62">
      <w:pPr>
        <w:pStyle w:val="00textosemparagrafo"/>
        <w:rPr>
          <w:b/>
        </w:rPr>
      </w:pPr>
      <w:r>
        <w:rPr>
          <w:b/>
        </w:rPr>
        <w:t>b) A confeitaria ficava onde hoje está o banco.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c) As pessoas costumavam caminhar, andar a cavalo e usar mais a bicicleta.</w:t>
      </w:r>
    </w:p>
    <w:p w:rsidR="008A7450" w:rsidRDefault="00812D62">
      <w:pPr>
        <w:pStyle w:val="00textosemparagrafo"/>
        <w:ind w:firstLine="567"/>
        <w:rPr>
          <w:spacing w:val="-2"/>
        </w:rPr>
      </w:pPr>
      <w:r>
        <w:rPr>
          <w:spacing w:val="-2"/>
        </w:rPr>
        <w:t xml:space="preserve">Os alunos devem identificar no texto que por meio de um relato é possível identificar algumas mudanças no bairro. Caso os alunos apresentem alguma dificuldade, </w:t>
      </w:r>
      <w:r w:rsidR="008D53D5">
        <w:rPr>
          <w:spacing w:val="-2"/>
        </w:rPr>
        <w:t>releia o texto e garanta que todos compreenderam o significado das palavras.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spacing w:line="150" w:lineRule="atLeast"/>
        <w:rPr>
          <w:b/>
        </w:rPr>
      </w:pPr>
      <w:r>
        <w:rPr>
          <w:b/>
        </w:rPr>
        <w:t xml:space="preserve">6. Alternativa </w:t>
      </w:r>
      <w:r w:rsidR="008D53D5">
        <w:rPr>
          <w:b/>
        </w:rPr>
        <w:t>A</w:t>
      </w:r>
      <w:r>
        <w:rPr>
          <w:b/>
        </w:rPr>
        <w:t>.</w:t>
      </w:r>
    </w:p>
    <w:p w:rsidR="008A7450" w:rsidRDefault="00812D62">
      <w:pPr>
        <w:pStyle w:val="00textosemparagrafo"/>
        <w:spacing w:after="0" w:line="150" w:lineRule="atLeast"/>
        <w:ind w:firstLine="567"/>
      </w:pPr>
      <w:r>
        <w:t xml:space="preserve">A atividade avalia a compreensão dos alunos sobre o fenômeno da migração, considerando </w:t>
      </w:r>
      <w:r w:rsidR="00F357BE">
        <w:t>su</w:t>
      </w:r>
      <w:r>
        <w:t xml:space="preserve">a importância </w:t>
      </w:r>
      <w:r w:rsidR="008D53D5">
        <w:t>para a cultura</w:t>
      </w:r>
      <w:r>
        <w:t>. Caso eles apresentem dificuldade em compreender o conceito de migração, retome a</w:t>
      </w:r>
      <w:r w:rsidR="00F357BE">
        <w:t>s</w:t>
      </w:r>
      <w:r>
        <w:t xml:space="preserve"> página</w:t>
      </w:r>
      <w:r w:rsidR="00F357BE">
        <w:t>s</w:t>
      </w:r>
      <w:r>
        <w:t xml:space="preserve"> 98 e 99 do Livro do Estudante, que mostra</w:t>
      </w:r>
      <w:r w:rsidR="00F357BE">
        <w:t>m</w:t>
      </w:r>
      <w:r>
        <w:t xml:space="preserve"> a importância dos imigrantes nos bairros.</w:t>
      </w:r>
      <w:r>
        <w:br w:type="page"/>
      </w:r>
    </w:p>
    <w:p w:rsidR="008A7450" w:rsidRDefault="00812D62">
      <w:pPr>
        <w:pStyle w:val="00textosemparagrafo"/>
        <w:spacing w:line="150" w:lineRule="atLeast"/>
        <w:rPr>
          <w:b/>
        </w:rPr>
      </w:pPr>
      <w:r>
        <w:rPr>
          <w:b/>
        </w:rPr>
        <w:lastRenderedPageBreak/>
        <w:t>7. Alternativa B.</w:t>
      </w:r>
    </w:p>
    <w:p w:rsidR="008A7450" w:rsidRDefault="00812D62">
      <w:pPr>
        <w:pStyle w:val="00textosemparagrafo"/>
        <w:spacing w:after="0" w:line="150" w:lineRule="atLeast"/>
        <w:ind w:firstLine="567"/>
      </w:pPr>
      <w:r>
        <w:t>A questão avalia a capacidade associativa entre os hábitos alimentares e alguns grupos específicos de imigrantes, valorizando a contribuição cultural des</w:t>
      </w:r>
      <w:r w:rsidR="00F357BE">
        <w:t>s</w:t>
      </w:r>
      <w:r>
        <w:t xml:space="preserve">es grupos para a sociedade brasileira. Se os alunos apresentarem dificuldade em associar os </w:t>
      </w:r>
      <w:r w:rsidR="008D53D5">
        <w:t>pratos típicos</w:t>
      </w:r>
      <w:r>
        <w:t xml:space="preserve"> com os grupos de imigrantes, retome o conteúdo da página 101 do Livro do Estudante.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8. </w:t>
      </w:r>
      <w:r w:rsidR="008D53D5">
        <w:rPr>
          <w:b/>
        </w:rPr>
        <w:t xml:space="preserve">Mantém a limpeza do bairro </w:t>
      </w:r>
      <w:r w:rsidR="00395CCF">
        <w:rPr>
          <w:b/>
        </w:rPr>
        <w:t>–</w:t>
      </w:r>
      <w:r w:rsidR="008D53D5">
        <w:rPr>
          <w:b/>
        </w:rPr>
        <w:t xml:space="preserve"> v</w:t>
      </w:r>
      <w:r>
        <w:rPr>
          <w:b/>
        </w:rPr>
        <w:t>arredor de rua</w:t>
      </w:r>
      <w:r w:rsidR="008D53D5">
        <w:rPr>
          <w:b/>
        </w:rPr>
        <w:t>; entrega as cartas – c</w:t>
      </w:r>
      <w:r>
        <w:rPr>
          <w:b/>
        </w:rPr>
        <w:t>arteiro</w:t>
      </w:r>
      <w:r w:rsidR="008D53D5">
        <w:rPr>
          <w:b/>
        </w:rPr>
        <w:t xml:space="preserve">; cuida da saúde das pessoas </w:t>
      </w:r>
      <w:r w:rsidR="00395CCF">
        <w:rPr>
          <w:b/>
        </w:rPr>
        <w:t>–</w:t>
      </w:r>
      <w:r w:rsidR="008D53D5">
        <w:rPr>
          <w:b/>
        </w:rPr>
        <w:t xml:space="preserve"> m</w:t>
      </w:r>
      <w:r>
        <w:rPr>
          <w:b/>
        </w:rPr>
        <w:t>édico.</w:t>
      </w:r>
    </w:p>
    <w:p w:rsidR="008A7450" w:rsidRDefault="00812D62">
      <w:pPr>
        <w:pStyle w:val="00textosemparagrafo"/>
        <w:ind w:firstLine="567"/>
      </w:pPr>
      <w:r>
        <w:t>A atividade associa os profissionais do bairro à função desempenhada por eles, levando os alunos a considerar a importância de cada profissional na organização e no bem-estar do bairro.</w:t>
      </w:r>
    </w:p>
    <w:p w:rsidR="008A7450" w:rsidRDefault="008A7450">
      <w:pPr>
        <w:pStyle w:val="00textosemparagrafo"/>
      </w:pPr>
    </w:p>
    <w:p w:rsidR="008A7450" w:rsidRPr="00FB5096" w:rsidRDefault="00812D62">
      <w:pPr>
        <w:pStyle w:val="00textosemparagrafo"/>
        <w:spacing w:line="150" w:lineRule="atLeast"/>
        <w:rPr>
          <w:b/>
        </w:rPr>
      </w:pPr>
      <w:r w:rsidRPr="00FB5096">
        <w:rPr>
          <w:b/>
        </w:rPr>
        <w:t>9. Alternativa C.</w:t>
      </w:r>
    </w:p>
    <w:p w:rsidR="008A7450" w:rsidRDefault="00812D62">
      <w:pPr>
        <w:pStyle w:val="00textosemparagrafo"/>
        <w:spacing w:after="0" w:line="150" w:lineRule="atLeast"/>
        <w:ind w:firstLine="567"/>
      </w:pPr>
      <w:r w:rsidRPr="00FB5096">
        <w:t xml:space="preserve">É importante que os alunos compreendam que com o passar do tempo algumas profissões deixam de existir enquanto outras resistem. </w:t>
      </w:r>
      <w:r w:rsidR="00FB5096" w:rsidRPr="00FB5096">
        <w:t xml:space="preserve">Se </w:t>
      </w:r>
      <w:r w:rsidR="00FB5096">
        <w:t>eles</w:t>
      </w:r>
      <w:r w:rsidR="00FB5096" w:rsidRPr="00FB5096">
        <w:t xml:space="preserve"> apresentarem dificuldade em </w:t>
      </w:r>
      <w:r w:rsidR="00FB5096">
        <w:t>identificar as profissões do passado</w:t>
      </w:r>
      <w:r w:rsidR="00FB5096" w:rsidRPr="00FB5096">
        <w:t>, retome</w:t>
      </w:r>
      <w:r w:rsidR="00FB5096">
        <w:t xml:space="preserve"> o conteúdo da página 106 e 107 do Livro do Estudante, que mostra alguns profissionais do passado.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spacing w:line="150" w:lineRule="atLeast"/>
        <w:rPr>
          <w:b/>
        </w:rPr>
      </w:pPr>
      <w:r>
        <w:rPr>
          <w:b/>
        </w:rPr>
        <w:t xml:space="preserve">10. </w:t>
      </w:r>
      <w:r w:rsidR="00FB5096">
        <w:rPr>
          <w:b/>
        </w:rPr>
        <w:t>Espera-se</w:t>
      </w:r>
      <w:r>
        <w:rPr>
          <w:b/>
        </w:rPr>
        <w:t xml:space="preserve"> que os alunos circulem os termos escola, hospital e transporte público.</w:t>
      </w:r>
    </w:p>
    <w:p w:rsidR="008A7450" w:rsidRDefault="00812D62">
      <w:pPr>
        <w:pStyle w:val="00textosemparagrafo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>Resposta pessoal. Espera-se que os alunos mencionem que es</w:t>
      </w:r>
      <w:r w:rsidR="00F357BE">
        <w:rPr>
          <w:b/>
        </w:rPr>
        <w:t>s</w:t>
      </w:r>
      <w:r>
        <w:rPr>
          <w:b/>
        </w:rPr>
        <w:t xml:space="preserve">es serviços são fundamentais para </w:t>
      </w:r>
      <w:r w:rsidR="00FB5096">
        <w:rPr>
          <w:b/>
        </w:rPr>
        <w:t>a educação</w:t>
      </w:r>
      <w:r>
        <w:rPr>
          <w:b/>
        </w:rPr>
        <w:t xml:space="preserve">, </w:t>
      </w:r>
      <w:r w:rsidR="00F357BE">
        <w:rPr>
          <w:b/>
        </w:rPr>
        <w:t xml:space="preserve">o </w:t>
      </w:r>
      <w:r>
        <w:rPr>
          <w:b/>
        </w:rPr>
        <w:t>cuidado com a saúde e</w:t>
      </w:r>
      <w:r w:rsidR="00F357BE">
        <w:rPr>
          <w:b/>
        </w:rPr>
        <w:t xml:space="preserve"> a</w:t>
      </w:r>
      <w:r>
        <w:rPr>
          <w:b/>
        </w:rPr>
        <w:t xml:space="preserve"> locomoção das pessoas </w:t>
      </w:r>
      <w:r w:rsidR="00FB5096">
        <w:rPr>
          <w:b/>
        </w:rPr>
        <w:t xml:space="preserve">pelo </w:t>
      </w:r>
      <w:r>
        <w:rPr>
          <w:b/>
        </w:rPr>
        <w:t>bairro</w:t>
      </w:r>
      <w:r w:rsidR="00FB5096">
        <w:rPr>
          <w:b/>
        </w:rPr>
        <w:t>.</w:t>
      </w:r>
    </w:p>
    <w:p w:rsidR="008A7450" w:rsidRDefault="00812D62">
      <w:pPr>
        <w:pStyle w:val="00textosemparagrafo"/>
        <w:ind w:firstLine="567"/>
      </w:pPr>
      <w:r>
        <w:t>Os alunos devem identificar entre os termos apresentados aqueles que se referem aos serviços públicos e, posteriormente, escrever quais des</w:t>
      </w:r>
      <w:r w:rsidR="00F357BE">
        <w:t>se</w:t>
      </w:r>
      <w:r>
        <w:t xml:space="preserve">s serviços públicos são ofertados no bairro </w:t>
      </w:r>
      <w:r w:rsidR="00F357BE">
        <w:t xml:space="preserve">em que </w:t>
      </w:r>
      <w:r w:rsidR="00FB5096">
        <w:t>vivem</w:t>
      </w:r>
      <w:r>
        <w:t>. Caso os alunos apontem a padaria e a loja de roupas como serviços públicos, esclareça que es</w:t>
      </w:r>
      <w:r w:rsidR="00F357BE">
        <w:t>s</w:t>
      </w:r>
      <w:r>
        <w:t xml:space="preserve">es estabelecimentos são </w:t>
      </w:r>
      <w:r w:rsidR="00FB5096">
        <w:t>comerciais</w:t>
      </w:r>
      <w:r>
        <w:t xml:space="preserve">. Também é interessante observar que os hospitais e escolas também podem ser administrados por empresas privadas. Espera-se também que </w:t>
      </w:r>
      <w:r w:rsidR="00F357BE">
        <w:t xml:space="preserve">os alunos </w:t>
      </w:r>
      <w:r>
        <w:t>compreenda</w:t>
      </w:r>
      <w:r w:rsidR="00F357BE">
        <w:t>m</w:t>
      </w:r>
      <w:r>
        <w:t xml:space="preserve"> a importância dos serviços públicos de transporte no bairro onde vive</w:t>
      </w:r>
      <w:r w:rsidR="00F357BE">
        <w:t>m</w:t>
      </w:r>
      <w:r>
        <w:t>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11. 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a) Vacinação contra</w:t>
      </w:r>
      <w:r w:rsidR="00F357BE">
        <w:rPr>
          <w:b/>
        </w:rPr>
        <w:t xml:space="preserve"> a</w:t>
      </w:r>
      <w:r>
        <w:rPr>
          <w:b/>
        </w:rPr>
        <w:t xml:space="preserve"> gripe.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 xml:space="preserve">b) </w:t>
      </w:r>
      <w:r w:rsidR="00415FE7">
        <w:rPr>
          <w:b/>
        </w:rPr>
        <w:t>A vacina está sendo ofertada no p</w:t>
      </w:r>
      <w:r>
        <w:rPr>
          <w:b/>
        </w:rPr>
        <w:t>osto de saúde do bairro das Flores.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c) O cartaz se refere ao serviço público de saúde.</w:t>
      </w:r>
    </w:p>
    <w:p w:rsidR="008A7450" w:rsidRDefault="00812D62">
      <w:pPr>
        <w:pStyle w:val="00textosemparagrafo"/>
        <w:ind w:firstLine="567"/>
      </w:pPr>
      <w:r>
        <w:t xml:space="preserve">A atividade se relaciona aos serviços públicos de cuidado à saúde, apresentando um cartaz de uma campanha de vacinação. Caso seja necessário, relembre aos alunos sobre as campanhas de vacinação e comente sobre a importância das atitudes de prevenção às </w:t>
      </w:r>
      <w:r w:rsidR="00415FE7">
        <w:t>doenças</w:t>
      </w:r>
      <w:r>
        <w:t>.</w:t>
      </w:r>
    </w:p>
    <w:p w:rsidR="008A7450" w:rsidRDefault="008A7450">
      <w:pPr>
        <w:pStyle w:val="00textosemparagrafo"/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t>12. Respostas variáveis.</w:t>
      </w:r>
    </w:p>
    <w:p w:rsidR="008A7450" w:rsidRDefault="00812D62">
      <w:pPr>
        <w:pStyle w:val="00textosemparagrafo"/>
        <w:ind w:firstLine="567"/>
      </w:pPr>
      <w:r>
        <w:t xml:space="preserve">A atividade trabalha a reciclagem, solicitando que os alunos mencionem dois exemplos de materiais que devem ser descartados para cada </w:t>
      </w:r>
      <w:r w:rsidR="00415FE7">
        <w:t>lixeira de materiais recicláveis</w:t>
      </w:r>
      <w:r>
        <w:t xml:space="preserve">. Comente com os alunos que a reciclagem pode ser adotada </w:t>
      </w:r>
      <w:r w:rsidR="00415FE7">
        <w:t>em casa e na escola</w:t>
      </w:r>
      <w:r>
        <w:t xml:space="preserve">. </w:t>
      </w:r>
    </w:p>
    <w:p w:rsidR="008A7450" w:rsidRDefault="00812D62">
      <w:pPr>
        <w:pStyle w:val="00textosemparagrafo"/>
        <w:ind w:firstLine="567"/>
      </w:pPr>
      <w:r>
        <w:t xml:space="preserve">As respostas são variáveis. </w:t>
      </w:r>
      <w:r w:rsidR="00415FE7">
        <w:t>P</w:t>
      </w:r>
      <w:r w:rsidR="00F357BE">
        <w:t>apel</w:t>
      </w:r>
      <w:r>
        <w:t xml:space="preserve">: embalagens, folhas, jornais, revistas; </w:t>
      </w:r>
      <w:r w:rsidR="00F357BE">
        <w:t>plástico</w:t>
      </w:r>
      <w:r>
        <w:t xml:space="preserve">: embalagens, garrafas </w:t>
      </w:r>
      <w:r w:rsidR="00415FE7">
        <w:t>plásticas</w:t>
      </w:r>
      <w:r>
        <w:t xml:space="preserve">, alguns brinquedos; </w:t>
      </w:r>
      <w:r w:rsidR="00F357BE">
        <w:t>metal</w:t>
      </w:r>
      <w:r>
        <w:t xml:space="preserve">: latas de refrigerante, de óleo, de alimentos em conserva; </w:t>
      </w:r>
      <w:r w:rsidR="00F357BE">
        <w:t>vidro</w:t>
      </w:r>
      <w:r>
        <w:t xml:space="preserve">: </w:t>
      </w:r>
      <w:r w:rsidR="00F357BE">
        <w:t xml:space="preserve">garrafas </w:t>
      </w:r>
      <w:r>
        <w:t xml:space="preserve">de vidro, lâmpadas. </w:t>
      </w:r>
    </w:p>
    <w:p w:rsidR="008A7450" w:rsidRDefault="008A7450">
      <w:pPr>
        <w:pStyle w:val="00textosemparagrafo"/>
        <w:rPr>
          <w:b/>
        </w:rPr>
      </w:pPr>
    </w:p>
    <w:p w:rsidR="00415FE7" w:rsidRDefault="00415FE7">
      <w:pPr>
        <w:pStyle w:val="00textosemparagrafo"/>
        <w:rPr>
          <w:b/>
        </w:rPr>
      </w:pPr>
    </w:p>
    <w:p w:rsidR="00415FE7" w:rsidRDefault="00415FE7">
      <w:pPr>
        <w:pStyle w:val="00textosemparagrafo"/>
        <w:rPr>
          <w:b/>
        </w:rPr>
      </w:pPr>
    </w:p>
    <w:p w:rsidR="008A7450" w:rsidRDefault="00812D62">
      <w:pPr>
        <w:pStyle w:val="00textosemparagrafo"/>
        <w:rPr>
          <w:b/>
        </w:rPr>
      </w:pPr>
      <w:r>
        <w:rPr>
          <w:b/>
        </w:rPr>
        <w:lastRenderedPageBreak/>
        <w:t xml:space="preserve">13. 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a) Vermelho: carro, ônibus, bicicleta, trem e motocicleta; Azul: barco; Verde: avião e helicóptero.</w:t>
      </w:r>
    </w:p>
    <w:p w:rsidR="008A7450" w:rsidRDefault="00812D62">
      <w:pPr>
        <w:pStyle w:val="00textosemparagrafo"/>
        <w:rPr>
          <w:b/>
        </w:rPr>
      </w:pPr>
      <w:r>
        <w:rPr>
          <w:b/>
        </w:rPr>
        <w:t>b) e c) Respostas pessoais.</w:t>
      </w:r>
    </w:p>
    <w:p w:rsidR="008A7450" w:rsidRDefault="00812D62" w:rsidP="00415FE7">
      <w:pPr>
        <w:pStyle w:val="00textosemparagrafo"/>
        <w:ind w:firstLine="567"/>
      </w:pPr>
      <w:r>
        <w:t xml:space="preserve">Inicialmente os alunos deverão identificar </w:t>
      </w:r>
      <w:r w:rsidR="00415FE7">
        <w:t>os</w:t>
      </w:r>
      <w:r>
        <w:t xml:space="preserve"> diferentes meios de transporte</w:t>
      </w:r>
      <w:r w:rsidR="00415FE7">
        <w:t>,</w:t>
      </w:r>
      <w:r>
        <w:t xml:space="preserve"> classifi</w:t>
      </w:r>
      <w:r w:rsidR="00415FE7">
        <w:t>cando-os</w:t>
      </w:r>
      <w:r>
        <w:t xml:space="preserve"> em terrestre, aquático e aéreo. Por fim, os alunos deverão considerar se eles utilizam alguns des</w:t>
      </w:r>
      <w:r w:rsidR="00F357BE">
        <w:t>se</w:t>
      </w:r>
      <w:r>
        <w:t>s meios de transporte no dia a dia. Comente que também é possível realizar pequenos trajetos de bicicleta ou caminhando.</w:t>
      </w:r>
      <w:r w:rsidR="00415FE7">
        <w:t xml:space="preserve"> </w:t>
      </w:r>
      <w:r>
        <w:t xml:space="preserve">As atividades b e c apresentam respostas pessoais e variáveis. Avalie a </w:t>
      </w:r>
      <w:r w:rsidR="00395CCF" w:rsidRPr="00395CCF">
        <w:t xml:space="preserve">coerência </w:t>
      </w:r>
      <w:r>
        <w:t>das respostas.</w:t>
      </w:r>
    </w:p>
    <w:p w:rsidR="008A7450" w:rsidRDefault="008A745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8A7450" w:rsidRDefault="00812D62">
      <w:pPr>
        <w:pStyle w:val="00textosemparagrafo"/>
        <w:spacing w:line="150" w:lineRule="atLeast"/>
        <w:rPr>
          <w:b/>
        </w:rPr>
      </w:pPr>
      <w:r>
        <w:rPr>
          <w:b/>
        </w:rPr>
        <w:t xml:space="preserve">14. </w:t>
      </w:r>
      <w:r w:rsidR="00395CCF">
        <w:rPr>
          <w:b/>
        </w:rPr>
        <w:t>V</w:t>
      </w:r>
      <w:r>
        <w:rPr>
          <w:b/>
        </w:rPr>
        <w:t>ermelho, amarelo e verde.</w:t>
      </w:r>
    </w:p>
    <w:p w:rsidR="008A7450" w:rsidRDefault="00812D62">
      <w:pPr>
        <w:pStyle w:val="00textosemparagrafo"/>
        <w:spacing w:after="0" w:line="150" w:lineRule="atLeast"/>
        <w:ind w:firstLine="567"/>
      </w:pPr>
      <w:r>
        <w:t>É importante que os alunos identifiquem alguns aspectos da comunicação no trânsito. Compreender o funcionamento da sinalização dos semáforos para veículos é fundamental para o desenvolvimento da autonomia da criança, considerando, acima de tudo</w:t>
      </w:r>
      <w:r w:rsidR="00F357BE">
        <w:t>,</w:t>
      </w:r>
      <w:r>
        <w:t xml:space="preserve"> a sua segurança. Espera-se que os alunos pintem o semáforo adequadamente, indicando em vermelho a posição pare</w:t>
      </w:r>
      <w:r w:rsidR="00395CCF">
        <w:t>,</w:t>
      </w:r>
      <w:r>
        <w:t xml:space="preserve"> em verde a posição siga</w:t>
      </w:r>
      <w:r w:rsidR="00395CCF">
        <w:t xml:space="preserve"> e</w:t>
      </w:r>
      <w:bookmarkStart w:id="0" w:name="_GoBack"/>
      <w:bookmarkEnd w:id="0"/>
      <w:r>
        <w:t xml:space="preserve"> em amarelo a posição de atenção.</w:t>
      </w:r>
    </w:p>
    <w:p w:rsidR="008A7450" w:rsidRDefault="008A7450">
      <w:pPr>
        <w:pStyle w:val="00textosemparagrafo"/>
        <w:spacing w:line="150" w:lineRule="atLeast"/>
        <w:rPr>
          <w:b/>
        </w:rPr>
      </w:pPr>
    </w:p>
    <w:p w:rsidR="008A7450" w:rsidRDefault="00812D62">
      <w:pPr>
        <w:pStyle w:val="00textosemparagrafo"/>
        <w:spacing w:line="150" w:lineRule="atLeast"/>
        <w:rPr>
          <w:b/>
        </w:rPr>
      </w:pPr>
      <w:r>
        <w:rPr>
          <w:b/>
        </w:rPr>
        <w:t>15. Alternativa C.</w:t>
      </w:r>
    </w:p>
    <w:p w:rsidR="008A7450" w:rsidRDefault="00812D62">
      <w:pPr>
        <w:pStyle w:val="00textosemparagrafo"/>
        <w:spacing w:after="0" w:line="150" w:lineRule="atLeast"/>
        <w:ind w:firstLine="567"/>
      </w:pPr>
      <w:r>
        <w:t xml:space="preserve">Também é importante que os alunos compreendam que alguns tipos de transporte se adequam mais a algumas situações do que outros. Para executar percursos curtos, por exemplo, podemos utilizar uma bicicleta ou caminhar. Percursos medianos podem ser percorridos </w:t>
      </w:r>
      <w:r w:rsidR="00F357BE">
        <w:t xml:space="preserve">de maneira mais eficiente </w:t>
      </w:r>
      <w:r>
        <w:t xml:space="preserve">com o transporte público, carros ou motocicletas. Percursos muito longos tendem a ser percorridos em trens, aviões, barcos etc. Espera-se que os alunos compreendam, a partir da interpretação de texto, que o meio de transporte adequado para executar pequenos trajetos </w:t>
      </w:r>
      <w:r w:rsidR="00F357BE">
        <w:t xml:space="preserve">e </w:t>
      </w:r>
      <w:r>
        <w:t xml:space="preserve">que </w:t>
      </w:r>
      <w:r w:rsidR="00F357BE">
        <w:t xml:space="preserve">também é utilizado </w:t>
      </w:r>
      <w:r>
        <w:t>na prática de atividades físicas é a bicicleta.</w:t>
      </w:r>
    </w:p>
    <w:sectPr w:rsidR="008A7450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78D" w:rsidRDefault="00B9478D">
      <w:r>
        <w:separator/>
      </w:r>
    </w:p>
  </w:endnote>
  <w:endnote w:type="continuationSeparator" w:id="0">
    <w:p w:rsidR="00B9478D" w:rsidRDefault="00B9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913A98-3C18-443F-B7BD-B9316635A1CC}"/>
    <w:embedBold r:id="rId2" w:fontKey="{17AD28F6-4F6B-4291-88C3-D823F22A67F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8A106CC-3EDE-41F1-B55A-EBC082E642A3}"/>
    <w:embedBold r:id="rId4" w:fontKey="{17396008-6739-4690-8795-C2C46DEF8A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5A6AD3D-AF19-4A9F-B091-7F25EA4437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09569D-31FE-4264-AB3A-107E200146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06EA1A3-2726-4A1E-8464-78CC51CA6DED}"/>
    <w:embedBold r:id="rId8" w:fontKey="{00907C0B-EFFE-46A2-BB09-2BDC701BB38B}"/>
    <w:embedItalic r:id="rId9" w:fontKey="{C38B5CFA-2F4E-482F-AE25-0DC225DAE5D9}"/>
    <w:embedBoldItalic r:id="rId10" w:fontKey="{6D02A200-311D-48BD-8FBD-411F9E37D5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410CA3A-855A-45CD-9F70-E61C9ED73B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3A3373D-0CA2-4B88-A1EE-28D437C4B81E}"/>
    <w:embedBold r:id="rId13" w:fontKey="{C7F017E2-0F84-4AB3-B683-A49726170E2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B93530EB-569D-4E9E-A71B-4E5780F2093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FD78DE15-0407-4F93-9E81-F11F83E69F7A}"/>
    <w:embedItalic r:id="rId16" w:fontKey="{C72F7869-C6F1-4423-B745-FF0E6FA7199C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44B4AB03-7CA5-41F6-836A-E448D33610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C1D415D-08BD-47C1-AC02-C0C553D2AF4C}"/>
    <w:embedBold r:id="rId19" w:fontKey="{B8BA6599-485B-4BC7-A9AE-DC8A336B19E0}"/>
    <w:embedItalic r:id="rId20" w:fontKey="{338DB9A0-2261-4C20-9A79-993F921C6659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6CD3CC43-6A80-4B12-8732-999BBCC6D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50" w:rsidRDefault="00812D6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581FD6">
      <w:rPr>
        <w:rFonts w:ascii="ArialMT" w:hAnsi="ArialMT" w:cs="ArialMT"/>
        <w:sz w:val="22"/>
        <w:szCs w:val="22"/>
        <w:lang w:val="pt-BR"/>
      </w:rPr>
      <w:t>–</w:t>
    </w:r>
    <w:r w:rsidR="00581FD6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:rsidR="008A7450" w:rsidRDefault="00812D6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95CC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78D" w:rsidRDefault="00B9478D">
      <w:r>
        <w:separator/>
      </w:r>
    </w:p>
  </w:footnote>
  <w:footnote w:type="continuationSeparator" w:id="0">
    <w:p w:rsidR="00B9478D" w:rsidRDefault="00B94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50" w:rsidRDefault="002F2A3F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2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134F4"/>
    <w:multiLevelType w:val="multilevel"/>
    <w:tmpl w:val="55586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7B32715"/>
    <w:multiLevelType w:val="multilevel"/>
    <w:tmpl w:val="17D003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50"/>
    <w:rsid w:val="002F2A3F"/>
    <w:rsid w:val="00395CCF"/>
    <w:rsid w:val="003D5643"/>
    <w:rsid w:val="00415FE7"/>
    <w:rsid w:val="005142E6"/>
    <w:rsid w:val="00581FD6"/>
    <w:rsid w:val="005A2726"/>
    <w:rsid w:val="00812D62"/>
    <w:rsid w:val="008A7450"/>
    <w:rsid w:val="008D53D5"/>
    <w:rsid w:val="00965DE8"/>
    <w:rsid w:val="00A46AC4"/>
    <w:rsid w:val="00AF1E30"/>
    <w:rsid w:val="00B53F5F"/>
    <w:rsid w:val="00B9478D"/>
    <w:rsid w:val="00E8053B"/>
    <w:rsid w:val="00EF102D"/>
    <w:rsid w:val="00F357BE"/>
    <w:rsid w:val="00FB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26CEF"/>
  <w15:docId w15:val="{DDBEF983-B315-419E-928C-298361E1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76D7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76D7A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17">
    <w:name w:val="ListLabel 117"/>
    <w:qFormat/>
    <w:rPr>
      <w:rFonts w:ascii="Arial" w:hAnsi="Arial"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ascii="Arial" w:hAnsi="Arial"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  <w:b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  <w:b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  <w:b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  <w:b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  <w:b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  <w:b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22EE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76D7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7F69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D518BE-B03E-41BD-9E93-BFA68448F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4</cp:revision>
  <cp:lastPrinted>2017-10-23T20:25:00Z</cp:lastPrinted>
  <dcterms:created xsi:type="dcterms:W3CDTF">2017-12-18T21:11:00Z</dcterms:created>
  <dcterms:modified xsi:type="dcterms:W3CDTF">2017-12-26T15:37:00Z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