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3FB0" w:rsidRDefault="002423B0">
      <w:pPr>
        <w:pStyle w:val="00cabeos"/>
      </w:pPr>
      <w:r>
        <w:t>Grade de correção – avaliação – 2</w:t>
      </w:r>
      <w:r>
        <w:rPr>
          <w:u w:val="single"/>
          <w:vertAlign w:val="superscript"/>
        </w:rPr>
        <w:t>o</w:t>
      </w:r>
      <w:r>
        <w:t xml:space="preserve"> Bimestre</w:t>
      </w:r>
    </w:p>
    <w:p w:rsidR="00813FB0" w:rsidRDefault="00813FB0">
      <w:pPr>
        <w:pStyle w:val="SemEspaamento"/>
        <w:rPr>
          <w:lang w:val="pt-BR"/>
        </w:rPr>
      </w:pPr>
    </w:p>
    <w:tbl>
      <w:tblPr>
        <w:tblStyle w:val="tabelaautoavaliacao"/>
        <w:tblW w:w="9072" w:type="dxa"/>
        <w:tblInd w:w="-15" w:type="dxa"/>
        <w:tblCellMar>
          <w:left w:w="93" w:type="dxa"/>
        </w:tblCellMar>
        <w:tblLook w:val="04A0" w:firstRow="1" w:lastRow="0" w:firstColumn="1" w:lastColumn="0" w:noHBand="0" w:noVBand="1"/>
      </w:tblPr>
      <w:tblGrid>
        <w:gridCol w:w="1125"/>
        <w:gridCol w:w="3128"/>
        <w:gridCol w:w="3402"/>
        <w:gridCol w:w="1417"/>
      </w:tblGrid>
      <w:tr w:rsidR="00813F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71" w:type="dxa"/>
            <w:gridSpan w:val="4"/>
            <w:shd w:val="clear" w:color="auto" w:fill="auto"/>
            <w:tcMar>
              <w:left w:w="93" w:type="dxa"/>
            </w:tcMar>
          </w:tcPr>
          <w:p w:rsidR="00813FB0" w:rsidRDefault="00813FB0">
            <w:pPr>
              <w:rPr>
                <w:rFonts w:ascii="Tahoma" w:hAnsi="Tahoma" w:cs="Tahoma"/>
                <w:lang w:val="pt-BR"/>
              </w:rPr>
            </w:pPr>
          </w:p>
          <w:p w:rsidR="00813FB0" w:rsidRDefault="002423B0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ALUNO: _____________________________________________________________</w:t>
            </w:r>
          </w:p>
          <w:p w:rsidR="00813FB0" w:rsidRDefault="00813FB0">
            <w:pPr>
              <w:rPr>
                <w:rFonts w:ascii="Tahoma" w:hAnsi="Tahoma" w:cs="Tahoma"/>
              </w:rPr>
            </w:pPr>
          </w:p>
          <w:p w:rsidR="00813FB0" w:rsidRDefault="002423B0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TURMA: ______________________________________ DATA: _________________</w:t>
            </w:r>
          </w:p>
          <w:p w:rsidR="00813FB0" w:rsidRDefault="00813FB0">
            <w:pPr>
              <w:rPr>
                <w:rFonts w:ascii="Tahoma" w:hAnsi="Tahoma"/>
              </w:rPr>
            </w:pPr>
          </w:p>
        </w:tc>
      </w:tr>
      <w:tr w:rsidR="00813FB0">
        <w:tc>
          <w:tcPr>
            <w:tcW w:w="1124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jc w:val="center"/>
              <w:rPr>
                <w:b/>
              </w:rPr>
            </w:pPr>
            <w:proofErr w:type="spellStart"/>
            <w:r>
              <w:rPr>
                <w:rFonts w:ascii="Tahoma" w:hAnsi="Tahoma"/>
                <w:b/>
                <w:caps w:val="0"/>
              </w:rPr>
              <w:t>Questão</w:t>
            </w:r>
            <w:proofErr w:type="spellEnd"/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jc w:val="center"/>
              <w:rPr>
                <w:b/>
              </w:rPr>
            </w:pPr>
            <w:proofErr w:type="spellStart"/>
            <w:r>
              <w:rPr>
                <w:rFonts w:ascii="Tahoma" w:hAnsi="Tahoma"/>
                <w:b/>
                <w:caps w:val="0"/>
              </w:rPr>
              <w:t>Habilidade</w:t>
            </w:r>
            <w:proofErr w:type="spellEnd"/>
            <w:r>
              <w:rPr>
                <w:rFonts w:ascii="Tahoma" w:hAnsi="Tahoma"/>
                <w:b/>
                <w:caps w:val="0"/>
              </w:rPr>
              <w:t xml:space="preserve"> da </w:t>
            </w:r>
            <w:proofErr w:type="spellStart"/>
            <w:r>
              <w:rPr>
                <w:rFonts w:ascii="Tahoma" w:hAnsi="Tahoma"/>
                <w:b/>
                <w:caps w:val="0"/>
              </w:rPr>
              <w:t>questão</w:t>
            </w:r>
            <w:proofErr w:type="spellEnd"/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jc w:val="center"/>
              <w:rPr>
                <w:b/>
              </w:rPr>
            </w:pPr>
            <w:proofErr w:type="spellStart"/>
            <w:r>
              <w:rPr>
                <w:rFonts w:ascii="Tahoma" w:hAnsi="Tahoma"/>
                <w:b/>
                <w:caps w:val="0"/>
              </w:rPr>
              <w:t>Habilidade</w:t>
            </w:r>
            <w:proofErr w:type="spellEnd"/>
            <w:r>
              <w:rPr>
                <w:rFonts w:ascii="Tahoma" w:hAnsi="Tahoma"/>
                <w:b/>
                <w:caps w:val="0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caps w:val="0"/>
              </w:rPr>
              <w:t>relativa</w:t>
            </w:r>
            <w:proofErr w:type="spellEnd"/>
            <w:r>
              <w:rPr>
                <w:rFonts w:ascii="Tahoma" w:hAnsi="Tahoma"/>
                <w:b/>
                <w:caps w:val="0"/>
              </w:rPr>
              <w:t xml:space="preserve"> à BNCC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caps w:val="0"/>
              </w:rPr>
              <w:t>Nota</w:t>
            </w:r>
          </w:p>
        </w:tc>
      </w:tr>
      <w:tr w:rsidR="00813FB0" w:rsidRPr="00C46236">
        <w:tc>
          <w:tcPr>
            <w:tcW w:w="1124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1</w:t>
            </w:r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Reconhecer e identificar os membros de uma família.</w:t>
            </w:r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spacing w:val="-10"/>
                <w:lang w:val="pt-BR"/>
              </w:rPr>
              <w:t>EF01HI07: Identificar mudanças e permanências nas formas de organização familiar, de modo a reconhecer as diversas configurações de família, acolhendo-as e respeitando-as.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:rsidR="00813FB0" w:rsidRDefault="00813FB0">
            <w:pPr>
              <w:rPr>
                <w:rFonts w:ascii="Tahoma" w:hAnsi="Tahoma"/>
                <w:lang w:val="pt-BR"/>
              </w:rPr>
            </w:pPr>
          </w:p>
        </w:tc>
      </w:tr>
      <w:tr w:rsidR="00813FB0" w:rsidRPr="00C46236">
        <w:tc>
          <w:tcPr>
            <w:tcW w:w="1124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2</w:t>
            </w:r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Reconhecer e identificar os membros de uma família.</w:t>
            </w:r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spacing w:val="-10"/>
                <w:lang w:val="pt-BR"/>
              </w:rPr>
              <w:t>EF01HI07: Identificar mudanças e permanências nas formas de organização familiar, de modo a reconhecer as diversas configurações de família, acolhendo-as e respeitando-as.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:rsidR="00813FB0" w:rsidRDefault="00813FB0">
            <w:pPr>
              <w:rPr>
                <w:rFonts w:ascii="Tahoma" w:hAnsi="Tahoma"/>
                <w:lang w:val="pt-BR"/>
              </w:rPr>
            </w:pPr>
          </w:p>
        </w:tc>
      </w:tr>
      <w:tr w:rsidR="00813FB0" w:rsidRPr="00C46236">
        <w:tc>
          <w:tcPr>
            <w:tcW w:w="1124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3</w:t>
            </w:r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Exemplificar as atividades comuns ao período da manhã e ao período da noite, mobilizando noções de relógio biológico.</w:t>
            </w:r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rPr>
                <w:rFonts w:ascii="Tahoma" w:hAnsi="Tahoma"/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EF01CI06: Selecionar exemplos de como a sucessão de dias e noites orienta o ritmo de atividades diárias de seres humanos e de outros seres vivos.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:rsidR="00813FB0" w:rsidRDefault="00813FB0">
            <w:pPr>
              <w:rPr>
                <w:rFonts w:ascii="Tahoma" w:hAnsi="Tahoma"/>
                <w:lang w:val="pt-BR"/>
              </w:rPr>
            </w:pPr>
          </w:p>
        </w:tc>
      </w:tr>
      <w:tr w:rsidR="00813FB0" w:rsidRPr="00C46236">
        <w:tc>
          <w:tcPr>
            <w:tcW w:w="1124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jc w:val="center"/>
              <w:rPr>
                <w:b/>
                <w:caps w:val="0"/>
                <w:lang w:val="pt-BR"/>
              </w:rPr>
            </w:pPr>
            <w:r>
              <w:rPr>
                <w:rFonts w:ascii="Tahoma" w:hAnsi="Tahoma"/>
                <w:b/>
                <w:caps w:val="0"/>
                <w:lang w:val="pt-BR"/>
              </w:rPr>
              <w:t>4</w:t>
            </w:r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Identificar as atividades comuns ao período da manhã e ao período da noite, mobilizando noções de relógio biológico.</w:t>
            </w:r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EF01CI06: Selecionar exemplos de como a sucessão de dias e noites orienta o ritmo de atividades diárias de seres humanos e de outros seres vivos.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:rsidR="00813FB0" w:rsidRDefault="00813FB0">
            <w:pPr>
              <w:rPr>
                <w:rFonts w:ascii="Tahoma" w:hAnsi="Tahoma"/>
                <w:lang w:val="pt-BR"/>
              </w:rPr>
            </w:pPr>
          </w:p>
        </w:tc>
      </w:tr>
      <w:tr w:rsidR="00813FB0" w:rsidRPr="00C46236">
        <w:tc>
          <w:tcPr>
            <w:tcW w:w="1124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jc w:val="center"/>
              <w:rPr>
                <w:b/>
                <w:caps w:val="0"/>
                <w:lang w:val="pt-BR"/>
              </w:rPr>
            </w:pPr>
            <w:r>
              <w:rPr>
                <w:rFonts w:ascii="Tahoma" w:hAnsi="Tahoma"/>
                <w:b/>
                <w:caps w:val="0"/>
                <w:lang w:val="pt-BR"/>
              </w:rPr>
              <w:t>5</w:t>
            </w:r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 xml:space="preserve">Interpretar um modelo de organização de atividades do cotidiano (agenda), identificando os períodos do dia. </w:t>
            </w:r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EF01CI05: Identificar e nomear diferentes escalas de tempo: os períodos diários (manhã, tarde, noite) e a sucessão dos dias, semanas, meses e anos.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:rsidR="00813FB0" w:rsidRDefault="00813FB0">
            <w:pPr>
              <w:rPr>
                <w:rFonts w:ascii="Tahoma" w:hAnsi="Tahoma"/>
                <w:lang w:val="pt-BR"/>
              </w:rPr>
            </w:pPr>
          </w:p>
        </w:tc>
      </w:tr>
      <w:tr w:rsidR="00813FB0" w:rsidRPr="00C46236">
        <w:tc>
          <w:tcPr>
            <w:tcW w:w="1124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jc w:val="center"/>
              <w:rPr>
                <w:b/>
                <w:caps w:val="0"/>
                <w:lang w:val="pt-BR"/>
              </w:rPr>
            </w:pPr>
            <w:r>
              <w:rPr>
                <w:rFonts w:ascii="Tahoma" w:hAnsi="Tahoma"/>
                <w:b/>
                <w:caps w:val="0"/>
                <w:lang w:val="pt-BR"/>
              </w:rPr>
              <w:t>6</w:t>
            </w:r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tabs>
                <w:tab w:val="left" w:pos="4962"/>
              </w:tabs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Interpretar um modelo de organização de atividades do cotidiano (linha do tempo) identificando os dias da semana.</w:t>
            </w:r>
          </w:p>
          <w:p w:rsidR="00813FB0" w:rsidRDefault="00813FB0">
            <w:pPr>
              <w:rPr>
                <w:rFonts w:ascii="Tahoma" w:hAnsi="Tahoma"/>
                <w:caps w:val="0"/>
                <w:lang w:val="pt-BR"/>
              </w:rPr>
            </w:pPr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EF01CI05: Identificar e nomear diferentes escalas de tempo: os períodos diários (manhã, tarde, noite) e a sucessão dos dias, semanas, meses e anos.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:rsidR="00813FB0" w:rsidRDefault="00813FB0">
            <w:pPr>
              <w:rPr>
                <w:rFonts w:ascii="Tahoma" w:hAnsi="Tahoma"/>
                <w:lang w:val="pt-BR"/>
              </w:rPr>
            </w:pPr>
          </w:p>
        </w:tc>
      </w:tr>
      <w:tr w:rsidR="00813FB0" w:rsidRPr="00C46236">
        <w:tc>
          <w:tcPr>
            <w:tcW w:w="1124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jc w:val="center"/>
              <w:rPr>
                <w:b/>
                <w:caps w:val="0"/>
                <w:lang w:val="pt-BR"/>
              </w:rPr>
            </w:pPr>
            <w:r>
              <w:rPr>
                <w:rFonts w:ascii="Tahoma" w:hAnsi="Tahoma"/>
                <w:b/>
                <w:caps w:val="0"/>
                <w:lang w:val="pt-BR"/>
              </w:rPr>
              <w:t>7</w:t>
            </w:r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tabs>
                <w:tab w:val="left" w:pos="4962"/>
              </w:tabs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Interpretar um modelo de organização de atividades do cotidiano (linha do tempo) identificando os dias da semana.</w:t>
            </w:r>
          </w:p>
          <w:p w:rsidR="00813FB0" w:rsidRDefault="00813FB0">
            <w:pPr>
              <w:tabs>
                <w:tab w:val="left" w:pos="4962"/>
              </w:tabs>
              <w:rPr>
                <w:rFonts w:ascii="Tahoma" w:hAnsi="Tahoma"/>
                <w:caps w:val="0"/>
                <w:lang w:val="pt-BR"/>
              </w:rPr>
            </w:pPr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EF01CI05: Identificar e nomear diferentes escalas de tempo: os períodos diários (manhã, tarde, noite) e a sucessão dos dias, semanas, meses e anos.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:rsidR="00813FB0" w:rsidRDefault="00813FB0">
            <w:pPr>
              <w:rPr>
                <w:rFonts w:ascii="Tahoma" w:hAnsi="Tahoma"/>
                <w:lang w:val="pt-BR"/>
              </w:rPr>
            </w:pPr>
          </w:p>
        </w:tc>
      </w:tr>
      <w:tr w:rsidR="00813FB0" w:rsidRPr="00C46236">
        <w:tc>
          <w:tcPr>
            <w:tcW w:w="1124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jc w:val="center"/>
              <w:rPr>
                <w:b/>
                <w:caps w:val="0"/>
                <w:lang w:val="pt-BR"/>
              </w:rPr>
            </w:pPr>
            <w:r>
              <w:rPr>
                <w:rFonts w:ascii="Tahoma" w:hAnsi="Tahoma"/>
                <w:b/>
                <w:caps w:val="0"/>
                <w:lang w:val="pt-BR"/>
              </w:rPr>
              <w:t>8</w:t>
            </w:r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Compreender a organização de atividades diárias de acordo com marcações temporais adequadas.</w:t>
            </w:r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EF01CI05: Identificar e nomear diferentes escalas de tempo: os períodos diários (manhã, tarde, noite) e a sucessão dos dias, semanas, meses e anos.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:rsidR="00813FB0" w:rsidRDefault="00813FB0">
            <w:pPr>
              <w:rPr>
                <w:rFonts w:ascii="Tahoma" w:hAnsi="Tahoma"/>
                <w:lang w:val="pt-BR"/>
              </w:rPr>
            </w:pPr>
          </w:p>
        </w:tc>
      </w:tr>
    </w:tbl>
    <w:p w:rsidR="00813FB0" w:rsidRDefault="002423B0">
      <w:pPr>
        <w:pStyle w:val="00textosemparagrafo"/>
        <w:ind w:right="680"/>
        <w:jc w:val="right"/>
        <w:rPr>
          <w:rFonts w:ascii="Tahoma" w:hAnsi="Tahoma" w:cs="Tahoma"/>
          <w:b/>
          <w:sz w:val="20"/>
          <w:szCs w:val="24"/>
        </w:rPr>
      </w:pPr>
      <w:bookmarkStart w:id="0" w:name="_GoBack"/>
      <w:bookmarkEnd w:id="0"/>
      <w:r>
        <w:rPr>
          <w:rFonts w:ascii="Tahoma" w:hAnsi="Tahoma" w:cs="Tahoma"/>
        </w:rPr>
        <w:t>(Continua)</w:t>
      </w:r>
      <w:r>
        <w:br w:type="page"/>
      </w:r>
    </w:p>
    <w:tbl>
      <w:tblPr>
        <w:tblStyle w:val="tabelaautoavaliacao"/>
        <w:tblW w:w="9072" w:type="dxa"/>
        <w:tblInd w:w="-15" w:type="dxa"/>
        <w:tblCellMar>
          <w:left w:w="93" w:type="dxa"/>
        </w:tblCellMar>
        <w:tblLook w:val="04A0" w:firstRow="1" w:lastRow="0" w:firstColumn="1" w:lastColumn="0" w:noHBand="0" w:noVBand="1"/>
      </w:tblPr>
      <w:tblGrid>
        <w:gridCol w:w="1125"/>
        <w:gridCol w:w="3128"/>
        <w:gridCol w:w="3402"/>
        <w:gridCol w:w="1417"/>
      </w:tblGrid>
      <w:tr w:rsidR="00813F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24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pageBreakBefore/>
              <w:jc w:val="center"/>
              <w:rPr>
                <w:b w:val="0"/>
              </w:rPr>
            </w:pPr>
            <w:proofErr w:type="spellStart"/>
            <w:r>
              <w:rPr>
                <w:rFonts w:ascii="Tahoma" w:hAnsi="Tahoma"/>
                <w:caps w:val="0"/>
              </w:rPr>
              <w:lastRenderedPageBreak/>
              <w:t>Questão</w:t>
            </w:r>
            <w:proofErr w:type="spellEnd"/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jc w:val="center"/>
              <w:rPr>
                <w:b w:val="0"/>
              </w:rPr>
            </w:pPr>
            <w:proofErr w:type="spellStart"/>
            <w:r>
              <w:rPr>
                <w:rFonts w:ascii="Tahoma" w:hAnsi="Tahoma"/>
                <w:caps w:val="0"/>
              </w:rPr>
              <w:t>Habilidade</w:t>
            </w:r>
            <w:proofErr w:type="spellEnd"/>
            <w:r>
              <w:rPr>
                <w:rFonts w:ascii="Tahoma" w:hAnsi="Tahoma"/>
                <w:caps w:val="0"/>
              </w:rPr>
              <w:t xml:space="preserve"> da </w:t>
            </w:r>
            <w:proofErr w:type="spellStart"/>
            <w:r>
              <w:rPr>
                <w:rFonts w:ascii="Tahoma" w:hAnsi="Tahoma"/>
                <w:caps w:val="0"/>
              </w:rPr>
              <w:t>questão</w:t>
            </w:r>
            <w:proofErr w:type="spellEnd"/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jc w:val="center"/>
              <w:rPr>
                <w:b w:val="0"/>
              </w:rPr>
            </w:pPr>
            <w:proofErr w:type="spellStart"/>
            <w:r>
              <w:rPr>
                <w:rFonts w:ascii="Tahoma" w:hAnsi="Tahoma"/>
                <w:caps w:val="0"/>
              </w:rPr>
              <w:t>Habilidade</w:t>
            </w:r>
            <w:proofErr w:type="spellEnd"/>
            <w:r>
              <w:rPr>
                <w:rFonts w:ascii="Tahoma" w:hAnsi="Tahoma"/>
                <w:caps w:val="0"/>
              </w:rPr>
              <w:t xml:space="preserve"> </w:t>
            </w:r>
            <w:proofErr w:type="spellStart"/>
            <w:r>
              <w:rPr>
                <w:rFonts w:ascii="Tahoma" w:hAnsi="Tahoma"/>
                <w:caps w:val="0"/>
              </w:rPr>
              <w:t>relativa</w:t>
            </w:r>
            <w:proofErr w:type="spellEnd"/>
            <w:r>
              <w:rPr>
                <w:rFonts w:ascii="Tahoma" w:hAnsi="Tahoma"/>
                <w:caps w:val="0"/>
              </w:rPr>
              <w:t xml:space="preserve"> à BNCC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jc w:val="center"/>
              <w:rPr>
                <w:b w:val="0"/>
              </w:rPr>
            </w:pPr>
            <w:r>
              <w:rPr>
                <w:rFonts w:ascii="Tahoma" w:hAnsi="Tahoma"/>
                <w:caps w:val="0"/>
              </w:rPr>
              <w:t>Nota</w:t>
            </w:r>
          </w:p>
        </w:tc>
      </w:tr>
      <w:tr w:rsidR="00813FB0" w:rsidRPr="00C46236">
        <w:tc>
          <w:tcPr>
            <w:tcW w:w="1124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jc w:val="center"/>
              <w:rPr>
                <w:b/>
                <w:caps w:val="0"/>
                <w:lang w:val="pt-BR"/>
              </w:rPr>
            </w:pPr>
            <w:r>
              <w:rPr>
                <w:rFonts w:ascii="Tahoma" w:hAnsi="Tahoma"/>
                <w:b/>
                <w:caps w:val="0"/>
                <w:lang w:val="pt-BR"/>
              </w:rPr>
              <w:t>9</w:t>
            </w:r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Interpretar, explorar e aplicar noções de posição e localização de pessoas e objetos no espaço, usando a terminologia adequada (à esquerda, à direita, em frente, atrás).</w:t>
            </w:r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EF01GE09: Elaborar e utilizar mapas simples para localizar elementos do local de vivência, considerando referenciais espaciais (frente e atrás, esquerda e direita, em cima e embaixo, dentro e fora) e tendo o corpo como referência.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:rsidR="00813FB0" w:rsidRDefault="00813FB0">
            <w:pPr>
              <w:rPr>
                <w:rFonts w:ascii="Tahoma" w:hAnsi="Tahoma"/>
                <w:lang w:val="pt-BR"/>
              </w:rPr>
            </w:pPr>
          </w:p>
        </w:tc>
      </w:tr>
      <w:tr w:rsidR="00813FB0" w:rsidRPr="00C46236">
        <w:tc>
          <w:tcPr>
            <w:tcW w:w="1124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jc w:val="center"/>
              <w:rPr>
                <w:b/>
                <w:caps w:val="0"/>
                <w:lang w:val="pt-BR"/>
              </w:rPr>
            </w:pPr>
            <w:r>
              <w:rPr>
                <w:rFonts w:ascii="Tahoma" w:hAnsi="Tahoma"/>
                <w:b/>
                <w:caps w:val="0"/>
                <w:lang w:val="pt-BR"/>
              </w:rPr>
              <w:t>10</w:t>
            </w:r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Identificar e representar os diferentes tempos atmosféricos (ensolarado, chuvoso e nublado) compreendendo seus efeitos nas atividades humanas.</w:t>
            </w:r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EF01GE05: Observar e descrever ritmos naturais (dia e noite, variação de temperatura e umidade etc.) em diferentes escalas espaciais e temporais, comparando a sua realidade com outras.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:rsidR="00813FB0" w:rsidRDefault="00813FB0">
            <w:pPr>
              <w:rPr>
                <w:rFonts w:ascii="Tahoma" w:hAnsi="Tahoma"/>
                <w:lang w:val="pt-BR"/>
              </w:rPr>
            </w:pPr>
          </w:p>
        </w:tc>
      </w:tr>
      <w:tr w:rsidR="00813FB0" w:rsidRPr="00C46236">
        <w:tc>
          <w:tcPr>
            <w:tcW w:w="1124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11</w:t>
            </w:r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Relacionar as peças de vestuário adequadas ao tempo atmosférico de determinado dia.</w:t>
            </w:r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EF01GE11: Associar mudanças de vestuário e hábitos alimentares em sua comunidade ao longo do ano, decorrentes da variação de temperatura e umidade no ambiente.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:rsidR="00813FB0" w:rsidRDefault="00813FB0">
            <w:pPr>
              <w:rPr>
                <w:rFonts w:ascii="Tahoma" w:hAnsi="Tahoma"/>
                <w:lang w:val="pt-BR"/>
              </w:rPr>
            </w:pPr>
          </w:p>
        </w:tc>
      </w:tr>
      <w:tr w:rsidR="00813FB0" w:rsidRPr="00C46236">
        <w:tc>
          <w:tcPr>
            <w:tcW w:w="1124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12</w:t>
            </w:r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Interpretar, explorar e aplicar noções de posição e localização de pessoas e objetos no espaço, usando a terminologia adequada (à esquerda, à direita, em frente, atrás).</w:t>
            </w:r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EF01GE09: Elaborar e utilizar mapas simples para localizar elementos do local de vivência, considerando referenciais espaciais (frente e atrás, esquerda e direita, em cima e embaixo, dentro e fora) e tendo o corpo como referência.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:rsidR="00813FB0" w:rsidRDefault="00813FB0">
            <w:pPr>
              <w:rPr>
                <w:rFonts w:ascii="Tahoma" w:hAnsi="Tahoma"/>
                <w:lang w:val="pt-BR"/>
              </w:rPr>
            </w:pPr>
          </w:p>
        </w:tc>
      </w:tr>
      <w:tr w:rsidR="00813FB0" w:rsidRPr="00C46236">
        <w:tc>
          <w:tcPr>
            <w:tcW w:w="1124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13</w:t>
            </w:r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Reconhecer práticas positivas e negativas na utilização de espaços públicos.</w:t>
            </w:r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EF01GE03: Identificar e relatar semelhanças e diferenças de usos do espaço público (praças, parques) para o lazer e diferentes manifestações.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:rsidR="00813FB0" w:rsidRDefault="00813FB0">
            <w:pPr>
              <w:rPr>
                <w:rFonts w:ascii="Tahoma" w:hAnsi="Tahoma"/>
                <w:lang w:val="pt-BR"/>
              </w:rPr>
            </w:pPr>
          </w:p>
        </w:tc>
      </w:tr>
      <w:tr w:rsidR="00813FB0" w:rsidRPr="00C46236">
        <w:tc>
          <w:tcPr>
            <w:tcW w:w="1124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14</w:t>
            </w:r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Exemplificar atividades realizadas em espaços públicos.</w:t>
            </w:r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EF01GE03: Identificar e relatar semelhanças e diferenças de usos do espaço público (praças, parques) para o lazer e diferentes manifestações.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:rsidR="00813FB0" w:rsidRDefault="00813FB0">
            <w:pPr>
              <w:rPr>
                <w:rFonts w:ascii="Tahoma" w:hAnsi="Tahoma"/>
                <w:lang w:val="pt-BR"/>
              </w:rPr>
            </w:pPr>
          </w:p>
        </w:tc>
      </w:tr>
      <w:tr w:rsidR="00813FB0" w:rsidRPr="00C46236">
        <w:tc>
          <w:tcPr>
            <w:tcW w:w="1124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15</w:t>
            </w:r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Identificar funções e possibilidades de atividades desenvolvidas em espaços públicos.</w:t>
            </w:r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:rsidR="00813FB0" w:rsidRDefault="002423B0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EF01GE03: Identificar e relatar semelhanças e diferenças de usos do espaço público (praças, parques) para o lazer e diferentes manifestações.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:rsidR="00813FB0" w:rsidRDefault="00813FB0">
            <w:pPr>
              <w:rPr>
                <w:rFonts w:ascii="Tahoma" w:hAnsi="Tahoma"/>
                <w:lang w:val="pt-BR"/>
              </w:rPr>
            </w:pPr>
          </w:p>
        </w:tc>
      </w:tr>
    </w:tbl>
    <w:p w:rsidR="00813FB0" w:rsidRPr="008C55F7" w:rsidRDefault="00813FB0">
      <w:pPr>
        <w:pStyle w:val="SemEspaamento"/>
        <w:rPr>
          <w:lang w:val="pt-BR"/>
        </w:rPr>
      </w:pPr>
    </w:p>
    <w:sectPr w:rsidR="00813FB0" w:rsidRPr="008C55F7">
      <w:headerReference w:type="default" r:id="rId7"/>
      <w:footerReference w:type="default" r:id="rId8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4BCA" w:rsidRDefault="00714BCA">
      <w:r>
        <w:separator/>
      </w:r>
    </w:p>
  </w:endnote>
  <w:endnote w:type="continuationSeparator" w:id="0">
    <w:p w:rsidR="00714BCA" w:rsidRDefault="00714B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46C946A-8726-4391-BC1A-C2D872426E9D}"/>
    <w:embedBold r:id="rId2" w:fontKey="{5D7F8546-C9E0-4111-B3FD-028BF7985803}"/>
    <w:embedItalic r:id="rId3" w:fontKey="{27774F7B-74B8-4093-8996-45B8DC52C875}"/>
    <w:embedBoldItalic r:id="rId4" w:fontKey="{6B5A25D2-FE38-4B37-8677-31390588BA0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AA401666-F451-46C7-A677-94F7C65624E9}"/>
    <w:embedBold r:id="rId6" w:fontKey="{5154FFE0-95F0-4EC7-B76C-82EA0DAA1DB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7" w:fontKey="{994EC638-B864-43F1-93A4-6716746CAF5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EC6150A7-3F2A-4737-932E-CC82A53D4A0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61D7497D-BFD6-4D68-AE52-E3C1309CCFF9}"/>
    <w:embedBold r:id="rId10" w:fontKey="{E076E73C-2B72-4F5C-B9E7-0441F19BE23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1" w:fontKey="{BAD536F4-66ED-4DEB-AB32-AF48FD0BFCE9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2" w:fontKey="{37E6B1BF-3DBF-4519-BB3E-1B75B8C85399}"/>
    <w:embedItalic r:id="rId13" w:fontKey="{A9CD5044-8394-44DA-BF7F-FA42FDBFEB3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9DB7A422-EA19-4D21-80A8-B164AE21A118}"/>
    <w:embedBold r:id="rId15" w:fontKey="{9698310E-E687-48D3-AA12-D9DE3D1BBF1B}"/>
    <w:embedItalic r:id="rId16" w:fontKey="{7B57CC45-BFAD-48F5-B701-A262DAD7E222}"/>
  </w:font>
  <w:font w:name="Cambria-Bold">
    <w:altName w:val="Cambria"/>
    <w:charset w:val="00"/>
    <w:family w:val="roman"/>
    <w:pitch w:val="variable"/>
  </w:font>
  <w:font w:name="Cambria Bold">
    <w:panose1 w:val="0204080305040603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5C68D2A1-E89C-4B3E-BE65-257683B98E03}"/>
  </w:font>
  <w:font w:name="Cambria-BoldItalic"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8" w:fontKey="{89BD65FB-61F5-4F56-89BA-274B353948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3FB0" w:rsidRDefault="008C55F7">
    <w:pPr>
      <w:spacing w:after="160" w:line="252" w:lineRule="auto"/>
      <w:contextualSpacing/>
      <w:rPr>
        <w:rFonts w:ascii="Tahoma" w:eastAsiaTheme="minorHAnsi" w:hAnsi="Tahoma" w:cs="Tahoma"/>
        <w:sz w:val="14"/>
        <w:szCs w:val="14"/>
        <w:lang w:val="pt-BR" w:eastAsia="en-US"/>
      </w:rPr>
    </w:pPr>
    <w:r w:rsidRPr="008C55F7">
      <w:rPr>
        <w:rFonts w:ascii="Tahoma" w:hAnsi="Tahoma" w:cs="Tahoma"/>
        <w:iCs/>
        <w:sz w:val="14"/>
        <w:szCs w:val="14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</w:t>
    </w:r>
    <w:r w:rsidR="00C46236">
      <w:rPr>
        <w:rFonts w:ascii="Tahoma" w:hAnsi="Tahoma" w:cs="Tahoma"/>
        <w:iCs/>
        <w:sz w:val="14"/>
        <w:szCs w:val="14"/>
        <w:lang w:val="pt-BR"/>
      </w:rPr>
      <w:t>.</w:t>
    </w:r>
  </w:p>
  <w:p w:rsidR="00813FB0" w:rsidRDefault="002423B0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C46236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4BCA" w:rsidRDefault="00714BCA">
      <w:r>
        <w:separator/>
      </w:r>
    </w:p>
  </w:footnote>
  <w:footnote w:type="continuationSeparator" w:id="0">
    <w:p w:rsidR="00714BCA" w:rsidRDefault="00714B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3FB0" w:rsidRDefault="00C37232">
    <w:pPr>
      <w:ind w:right="360"/>
    </w:pPr>
    <w:r>
      <w:rPr>
        <w:noProof/>
      </w:rPr>
      <w:drawing>
        <wp:inline distT="0" distB="0" distL="0" distR="0">
          <wp:extent cx="5940000" cy="288000"/>
          <wp:effectExtent l="0" t="0" r="0" b="0"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CHG1_MD_2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FB0"/>
    <w:rsid w:val="002423B0"/>
    <w:rsid w:val="00714BCA"/>
    <w:rsid w:val="00813FB0"/>
    <w:rsid w:val="008C55F7"/>
    <w:rsid w:val="00A75401"/>
    <w:rsid w:val="00C37232"/>
    <w:rsid w:val="00C46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3F7EE6"/>
  <w15:docId w15:val="{01B076E5-6F55-4C74-8FFA-7C4AA0D22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432EBD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45CF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985C9A"/>
    <w:pPr>
      <w:outlineLvl w:val="0"/>
    </w:pPr>
    <w:rPr>
      <w:rFonts w:ascii="Cambria Bold" w:eastAsiaTheme="minorEastAsia" w:hAnsi="Cambria Bold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lang w:eastAsia="es-ES"/>
    </w:rPr>
  </w:style>
  <w:style w:type="paragraph" w:styleId="Reviso">
    <w:name w:val="Revision"/>
    <w:uiPriority w:val="99"/>
    <w:semiHidden/>
    <w:qFormat/>
    <w:rsid w:val="00303DB7"/>
    <w:rPr>
      <w:rFonts w:ascii="Calibri" w:eastAsiaTheme="minorEastAsia" w:hAnsi="Calibri"/>
      <w:lang w:eastAsia="es-ES"/>
    </w:rPr>
  </w:style>
  <w:style w:type="paragraph" w:customStyle="1" w:styleId="western">
    <w:name w:val="western"/>
    <w:basedOn w:val="Normal"/>
    <w:qFormat/>
    <w:rsid w:val="00F92992"/>
    <w:pPr>
      <w:spacing w:beforeAutospacing="1" w:after="142" w:line="288" w:lineRule="auto"/>
    </w:pPr>
    <w:rPr>
      <w:rFonts w:eastAsia="Times New Roman" w:cs="Times New Roman"/>
      <w:color w:val="00000A"/>
      <w:lang w:val="pt-BR" w:eastAsia="pt-BR"/>
    </w:rPr>
  </w:style>
  <w:style w:type="paragraph" w:customStyle="1" w:styleId="Contedodatabela">
    <w:name w:val="Conteúdo da tabela"/>
    <w:basedOn w:val="Normal"/>
    <w:qFormat/>
  </w:style>
  <w:style w:type="paragraph" w:customStyle="1" w:styleId="Ttulodetabela">
    <w:name w:val="Título de tabela"/>
    <w:basedOn w:val="Contedodatabela"/>
    <w:qFormat/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sz w:val="20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  <w:sz w:val="20"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sz w:val="20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CA565A7-A145-4096-AC1F-2FE05155C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689</Words>
  <Characters>3722</Characters>
  <Application>Microsoft Office Word</Application>
  <DocSecurity>0</DocSecurity>
  <Lines>31</Lines>
  <Paragraphs>8</Paragraphs>
  <ScaleCrop>false</ScaleCrop>
  <Company/>
  <LinksUpToDate>false</LinksUpToDate>
  <CharactersWithSpaces>4403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Amelia Bueno Migliacci</dc:creator>
  <dc:description/>
  <cp:lastModifiedBy>Ed5-821</cp:lastModifiedBy>
  <cp:revision>19</cp:revision>
  <cp:lastPrinted>2017-10-23T20:25:00Z</cp:lastPrinted>
  <dcterms:created xsi:type="dcterms:W3CDTF">2017-11-21T15:38:00Z</dcterms:created>
  <dcterms:modified xsi:type="dcterms:W3CDTF">2017-12-13T13:21:00Z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