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7BB6" w:rsidRDefault="008F794B">
      <w:pPr>
        <w:pStyle w:val="00cabeos"/>
      </w:pPr>
      <w:r>
        <w:t>Gabarito da avaliação – 2º Bimestre</w:t>
      </w:r>
    </w:p>
    <w:p w:rsidR="00517BB6" w:rsidRDefault="00517BB6">
      <w:pPr>
        <w:pStyle w:val="SemEspaamento"/>
        <w:rPr>
          <w:lang w:val="pt-BR"/>
        </w:rPr>
      </w:pPr>
    </w:p>
    <w:p w:rsidR="00517BB6" w:rsidRDefault="008F794B">
      <w:pPr>
        <w:pStyle w:val="00textosemparagrafo"/>
        <w:rPr>
          <w:b/>
        </w:rPr>
      </w:pPr>
      <w:r>
        <w:rPr>
          <w:b/>
        </w:rPr>
        <w:t>1.</w:t>
      </w:r>
    </w:p>
    <w:p w:rsidR="00517BB6" w:rsidRDefault="008F794B">
      <w:pPr>
        <w:pStyle w:val="00Textogeralbullet"/>
        <w:numPr>
          <w:ilvl w:val="0"/>
          <w:numId w:val="1"/>
        </w:numPr>
      </w:pPr>
      <w:r>
        <w:t>Caio tem uma irmã.</w:t>
      </w:r>
    </w:p>
    <w:p w:rsidR="00517BB6" w:rsidRDefault="008F794B">
      <w:pPr>
        <w:pStyle w:val="00Textogeralbullet"/>
        <w:numPr>
          <w:ilvl w:val="0"/>
          <w:numId w:val="1"/>
        </w:numPr>
      </w:pPr>
      <w:r>
        <w:t>Os pais, Roberto e Flávia, a irmã, Beatriz, e a avó materna, Maria.</w:t>
      </w:r>
    </w:p>
    <w:p w:rsidR="00517BB6" w:rsidRDefault="008F794B">
      <w:pPr>
        <w:pStyle w:val="00Textogeralbullet"/>
        <w:numPr>
          <w:ilvl w:val="0"/>
          <w:numId w:val="1"/>
        </w:numPr>
      </w:pPr>
      <w:r>
        <w:t>7.</w:t>
      </w:r>
    </w:p>
    <w:p w:rsidR="00517BB6" w:rsidRDefault="008F794B">
      <w:pPr>
        <w:pStyle w:val="00textosemparagrafo"/>
        <w:ind w:firstLine="567"/>
      </w:pPr>
      <w:r>
        <w:t>É possível que as dificuldades em responder aos itens desta questão sejam originárias da dificuldade de leitura e de interpretação do texto. Neste caso, retome-o com a turma pedindo que sublinhem as informações importantes para responder às perguntas. Se necessário, retome o desenho que os alunos fizeram na página 51 do Livro do Estudante para que identifiquem as relações familiares representadas a partir de seu próprio exemplo.</w:t>
      </w:r>
    </w:p>
    <w:p w:rsidR="00517BB6" w:rsidRDefault="00517BB6">
      <w:pPr>
        <w:pStyle w:val="00textosemparagrafo"/>
      </w:pPr>
    </w:p>
    <w:p w:rsidR="00517BB6" w:rsidRDefault="008F794B">
      <w:pPr>
        <w:pStyle w:val="00textosemparagrafo"/>
        <w:rPr>
          <w:b/>
        </w:rPr>
      </w:pPr>
      <w:r>
        <w:rPr>
          <w:b/>
        </w:rPr>
        <w:t>2. Alternativa D.</w:t>
      </w:r>
    </w:p>
    <w:p w:rsidR="00517BB6" w:rsidRDefault="008F794B">
      <w:pPr>
        <w:pStyle w:val="00textosemparagrafo"/>
        <w:ind w:firstLine="567"/>
      </w:pPr>
      <w:r>
        <w:t xml:space="preserve">Caso os alunos tenham assinalado as alternativas </w:t>
      </w:r>
      <w:proofErr w:type="gramStart"/>
      <w:r>
        <w:t>A, B</w:t>
      </w:r>
      <w:proofErr w:type="gramEnd"/>
      <w:r>
        <w:t xml:space="preserve"> ou C, avalie se o texto que apresenta a família de Matheus e de Lucas ficou claro. As informações do texto podem ter ficado confusas ou sido mal interpretadas. A estrutura familiar pode ser observada na ilustração, para facilitar a identificação do parente em comum pelos alunos, e tal parente pode ser identificado por eliminação. Se necessário, peça aos alunos que identifiquem, em uma folha à parte, os pais, as mães e os avós de Matheus e de Lucas e então identifiquem os nomes que se repetem. </w:t>
      </w:r>
    </w:p>
    <w:p w:rsidR="00517BB6" w:rsidRDefault="00517BB6">
      <w:pPr>
        <w:pStyle w:val="00textosemparagrafo"/>
      </w:pPr>
    </w:p>
    <w:p w:rsidR="00517BB6" w:rsidRDefault="008F794B">
      <w:pPr>
        <w:pStyle w:val="00textosemparagrafo"/>
        <w:rPr>
          <w:b/>
        </w:rPr>
      </w:pPr>
      <w:r>
        <w:rPr>
          <w:b/>
        </w:rPr>
        <w:t>3. Respostas variáveis.</w:t>
      </w:r>
    </w:p>
    <w:p w:rsidR="00517BB6" w:rsidRDefault="008F794B">
      <w:pPr>
        <w:pStyle w:val="00textosemparagrafo"/>
        <w:ind w:firstLine="567"/>
      </w:pPr>
      <w:r>
        <w:t>Avalie se o conjunto criado pelos alunos é adequado para representar cada período do dia. Algumas atividades são variáveis e podem constar em um ou outro quadro. Caso identifique alguma dificuldade na apreensão das noções de manhã e noite e quais atividades são adequadas a cada uma, retome o conteúdo da página 68 do Livro do Estudante, que apresenta a existência do relógio biológico dos seres vivos. Pode ser interessante, ainda, conversar com os alunos sobre as características de cada período do dia, cuja luminosidade permite ou dificulta determinadas atividades.</w:t>
      </w:r>
    </w:p>
    <w:p w:rsidR="00517BB6" w:rsidRDefault="00517BB6">
      <w:pPr>
        <w:pStyle w:val="00textosemparagrafo"/>
      </w:pPr>
    </w:p>
    <w:p w:rsidR="00517BB6" w:rsidRDefault="008F794B">
      <w:pPr>
        <w:pStyle w:val="00textosemparagrafo"/>
        <w:rPr>
          <w:b/>
        </w:rPr>
      </w:pPr>
      <w:r>
        <w:rPr>
          <w:b/>
        </w:rPr>
        <w:t>4. Alternativa A.</w:t>
      </w:r>
    </w:p>
    <w:p w:rsidR="00517BB6" w:rsidRDefault="008F794B">
      <w:pPr>
        <w:pStyle w:val="00textosemparagrafo"/>
        <w:ind w:firstLine="567"/>
      </w:pPr>
      <w:r>
        <w:t>Caso os alunos tenham escolhido outra opção, busque compreender a linha de raciocínio que eles seguiram. É possível que tirem cochilos durante o dia ou façam lição quando já está escuro, por exemplo, mas, provavelmente, essas atividades não correspondem à maior parte do período noturno, ao qual se refere a questão. Se possível, pergunte aos alunos que não optaram pela alternativa que indica “dormir” se eles compreenderam a pergunta e quais atividades costumam fazer à noite. Avalie a necessidade de retomar as discussões sobre a rotina de Bia, das páginas 58 a 67 do Livro do Estudante. É válido, ainda, ressaltar a importância do sono, abordada na página 69 do Livro do Estudante.</w:t>
      </w:r>
    </w:p>
    <w:p w:rsidR="00517BB6" w:rsidRDefault="00517BB6">
      <w:pPr>
        <w:shd w:val="clear" w:color="auto" w:fill="FFFFFF" w:themeFill="background1"/>
        <w:spacing w:line="360" w:lineRule="auto"/>
        <w:jc w:val="both"/>
        <w:rPr>
          <w:rFonts w:ascii="Arial" w:hAnsi="Arial" w:cs="Arial"/>
          <w:b/>
          <w:lang w:val="pt-BR"/>
        </w:rPr>
      </w:pPr>
    </w:p>
    <w:p w:rsidR="00517BB6" w:rsidRDefault="008F794B">
      <w:pPr>
        <w:pStyle w:val="00textosemparagrafo"/>
        <w:rPr>
          <w:b/>
        </w:rPr>
      </w:pPr>
      <w:r>
        <w:rPr>
          <w:b/>
        </w:rPr>
        <w:t>5.</w:t>
      </w:r>
    </w:p>
    <w:p w:rsidR="00517BB6" w:rsidRDefault="008F794B">
      <w:pPr>
        <w:pStyle w:val="00Textogeralbullet"/>
        <w:numPr>
          <w:ilvl w:val="0"/>
          <w:numId w:val="1"/>
        </w:numPr>
      </w:pPr>
      <w:r>
        <w:t>Caio vai à escola de tarde.</w:t>
      </w:r>
    </w:p>
    <w:tbl>
      <w:tblPr>
        <w:tblStyle w:val="Tabelacomgrade"/>
        <w:tblW w:w="7648" w:type="dxa"/>
        <w:tblInd w:w="103" w:type="dxa"/>
        <w:tblCellMar>
          <w:left w:w="98" w:type="dxa"/>
        </w:tblCellMar>
        <w:tblLook w:val="04A0" w:firstRow="1" w:lastRow="0" w:firstColumn="1" w:lastColumn="0" w:noHBand="0" w:noVBand="1"/>
      </w:tblPr>
      <w:tblGrid>
        <w:gridCol w:w="2126"/>
        <w:gridCol w:w="2689"/>
        <w:gridCol w:w="2833"/>
      </w:tblGrid>
      <w:tr w:rsidR="007D708F" w:rsidTr="00504301">
        <w:tc>
          <w:tcPr>
            <w:tcW w:w="2126" w:type="dxa"/>
            <w:shd w:val="clear" w:color="auto" w:fill="808080" w:themeFill="background1" w:themeFillShade="80"/>
            <w:tcMar>
              <w:left w:w="98" w:type="dxa"/>
            </w:tcMar>
          </w:tcPr>
          <w:p w:rsidR="007D708F" w:rsidRDefault="007D708F" w:rsidP="00504301">
            <w:pPr>
              <w:pStyle w:val="00textosemparagrafo"/>
              <w:spacing w:line="480" w:lineRule="auto"/>
              <w:jc w:val="center"/>
            </w:pPr>
            <w:r>
              <w:rPr>
                <w:b/>
                <w:color w:val="FFFFFF" w:themeColor="background1"/>
              </w:rPr>
              <w:t>Manhã</w:t>
            </w:r>
          </w:p>
        </w:tc>
        <w:tc>
          <w:tcPr>
            <w:tcW w:w="2689" w:type="dxa"/>
            <w:shd w:val="clear" w:color="auto" w:fill="808080" w:themeFill="background1" w:themeFillShade="80"/>
            <w:tcMar>
              <w:left w:w="98" w:type="dxa"/>
            </w:tcMar>
          </w:tcPr>
          <w:p w:rsidR="007D708F" w:rsidRDefault="007D708F" w:rsidP="00504301">
            <w:pPr>
              <w:pStyle w:val="00textosemparagrafo"/>
              <w:spacing w:line="480" w:lineRule="auto"/>
              <w:jc w:val="center"/>
            </w:pPr>
            <w:r>
              <w:rPr>
                <w:b/>
                <w:color w:val="FFFFFF" w:themeColor="background1"/>
              </w:rPr>
              <w:t>Tarde</w:t>
            </w:r>
          </w:p>
        </w:tc>
        <w:tc>
          <w:tcPr>
            <w:tcW w:w="2833" w:type="dxa"/>
            <w:shd w:val="clear" w:color="auto" w:fill="808080" w:themeFill="background1" w:themeFillShade="80"/>
            <w:tcMar>
              <w:left w:w="98" w:type="dxa"/>
            </w:tcMar>
          </w:tcPr>
          <w:p w:rsidR="007D708F" w:rsidRDefault="007D708F" w:rsidP="00504301">
            <w:pPr>
              <w:pStyle w:val="00textosemparagrafo"/>
              <w:spacing w:line="480" w:lineRule="auto"/>
              <w:jc w:val="center"/>
            </w:pPr>
            <w:r>
              <w:rPr>
                <w:b/>
                <w:color w:val="FFFFFF" w:themeColor="background1"/>
              </w:rPr>
              <w:t>Noite</w:t>
            </w:r>
          </w:p>
        </w:tc>
      </w:tr>
      <w:tr w:rsidR="007D708F" w:rsidTr="00504301">
        <w:tc>
          <w:tcPr>
            <w:tcW w:w="2126" w:type="dxa"/>
            <w:shd w:val="clear" w:color="auto" w:fill="auto"/>
            <w:tcMar>
              <w:left w:w="98" w:type="dxa"/>
            </w:tcMar>
          </w:tcPr>
          <w:p w:rsidR="007D708F" w:rsidRDefault="007D708F" w:rsidP="00504301">
            <w:pPr>
              <w:pStyle w:val="00textosemparagrafo"/>
              <w:spacing w:line="480" w:lineRule="auto"/>
              <w:jc w:val="left"/>
            </w:pPr>
            <w:bookmarkStart w:id="0" w:name="__UnoMark__8873_55594752"/>
            <w:bookmarkStart w:id="1" w:name="__UnoMark__8872_55594752"/>
            <w:bookmarkEnd w:id="0"/>
            <w:bookmarkEnd w:id="1"/>
            <w:r>
              <w:rPr>
                <w:color w:val="00000A"/>
              </w:rPr>
              <w:t>Aula de natação.</w:t>
            </w:r>
          </w:p>
        </w:tc>
        <w:tc>
          <w:tcPr>
            <w:tcW w:w="2689" w:type="dxa"/>
            <w:shd w:val="clear" w:color="auto" w:fill="auto"/>
            <w:tcMar>
              <w:left w:w="98" w:type="dxa"/>
            </w:tcMar>
          </w:tcPr>
          <w:p w:rsidR="007D708F" w:rsidRDefault="007D708F" w:rsidP="00504301">
            <w:pPr>
              <w:pStyle w:val="00textosemparagrafo"/>
              <w:spacing w:line="480" w:lineRule="auto"/>
              <w:jc w:val="left"/>
            </w:pPr>
            <w:bookmarkStart w:id="2" w:name="__UnoMark__8875_55594752"/>
            <w:bookmarkStart w:id="3" w:name="__UnoMark__8874_55594752"/>
            <w:bookmarkEnd w:id="2"/>
            <w:bookmarkEnd w:id="3"/>
            <w:r>
              <w:t>Prova de Ciências.</w:t>
            </w:r>
          </w:p>
        </w:tc>
        <w:tc>
          <w:tcPr>
            <w:tcW w:w="2833" w:type="dxa"/>
            <w:shd w:val="clear" w:color="auto" w:fill="auto"/>
            <w:tcMar>
              <w:left w:w="98" w:type="dxa"/>
            </w:tcMar>
          </w:tcPr>
          <w:p w:rsidR="007D708F" w:rsidRDefault="007D708F" w:rsidP="00504301">
            <w:pPr>
              <w:pStyle w:val="00textosemparagrafo"/>
              <w:spacing w:line="480" w:lineRule="auto"/>
              <w:jc w:val="left"/>
            </w:pPr>
            <w:bookmarkStart w:id="4" w:name="__UnoMark__8876_55594752"/>
            <w:bookmarkEnd w:id="4"/>
            <w:r>
              <w:t>Lição de casa.</w:t>
            </w:r>
          </w:p>
        </w:tc>
      </w:tr>
    </w:tbl>
    <w:p w:rsidR="007D708F" w:rsidRDefault="007D708F">
      <w:pPr>
        <w:rPr>
          <w:rFonts w:ascii="Arial" w:hAnsi="Arial" w:cs="Arial"/>
          <w:color w:val="000000"/>
          <w:sz w:val="22"/>
          <w:szCs w:val="22"/>
          <w:lang w:val="pt-BR"/>
        </w:rPr>
      </w:pPr>
      <w:r w:rsidRPr="007D708F">
        <w:rPr>
          <w:lang w:val="pt-BR"/>
        </w:rPr>
        <w:br w:type="page"/>
      </w:r>
    </w:p>
    <w:p w:rsidR="00517BB6" w:rsidRDefault="008F794B">
      <w:pPr>
        <w:pStyle w:val="00textosemparagrafo"/>
        <w:ind w:firstLine="567"/>
      </w:pPr>
      <w:r>
        <w:lastRenderedPageBreak/>
        <w:t>Na primeira questão, verifique se os alunos conseguem inferir que o período em que Caio vai à escola é à tarde, pois em sua agenda está marcada uma prova nesse período. Na segunda questão, caso os alunos não tenham identificado a atividade correta, eles podem não estar familiarizados com a organização das atividades em agenda. Se for necessário, retome a leitura da agenda, período a período, auxiliando-os com a leitura do texto.</w:t>
      </w:r>
    </w:p>
    <w:p w:rsidR="00517BB6" w:rsidRDefault="00517BB6">
      <w:pPr>
        <w:pStyle w:val="00textosemparagrafo"/>
      </w:pPr>
    </w:p>
    <w:p w:rsidR="00517BB6" w:rsidRDefault="008F794B">
      <w:pPr>
        <w:pStyle w:val="00textosemparagrafo"/>
        <w:rPr>
          <w:b/>
        </w:rPr>
      </w:pPr>
      <w:r>
        <w:rPr>
          <w:b/>
        </w:rPr>
        <w:t>6. Paula foi à festa de aniversário do Júlio.</w:t>
      </w:r>
    </w:p>
    <w:p w:rsidR="00517BB6" w:rsidRDefault="008F794B">
      <w:pPr>
        <w:pStyle w:val="00textosemparagrafo"/>
        <w:ind w:firstLine="567"/>
      </w:pPr>
      <w:r>
        <w:t>Caso os alunos não tenham identificado a atividade correta, avalie se eles compreenderam a ideia de “anterior” como algo que aconteceu antes. Se necessário, proponha um exercício trabalhando “antes e depois” com os alunos, preferencialmente usando exemplos de seu cotidiano, tais como “antes de chegar à escola, vocês vestiram o uniforme” e “depois do recreio, teremos aula de Matemática”.</w:t>
      </w:r>
    </w:p>
    <w:p w:rsidR="00517BB6" w:rsidRDefault="00517BB6">
      <w:pPr>
        <w:pStyle w:val="00textosemparagrafo"/>
      </w:pPr>
    </w:p>
    <w:p w:rsidR="00517BB6" w:rsidRDefault="008F794B">
      <w:pPr>
        <w:pStyle w:val="00textosemparagrafo"/>
        <w:rPr>
          <w:b/>
        </w:rPr>
      </w:pPr>
      <w:r>
        <w:rPr>
          <w:b/>
        </w:rPr>
        <w:t>7. No domingo, na terça e na sexta.</w:t>
      </w:r>
    </w:p>
    <w:p w:rsidR="00517BB6" w:rsidRDefault="008F794B">
      <w:pPr>
        <w:pStyle w:val="00textosemparagrafo"/>
        <w:ind w:firstLine="567"/>
      </w:pPr>
      <w:r>
        <w:t>Espera-se que os alunos copiem o nome dos dias em que não há nenhuma atividade vinculada. Caso eles tenham respondido outros dias da semana, verifique se compreenderam o que pede a questão. É válido, ainda, reforçar a abordagem dos dias da semana, montando um calendário semanal no quadro de giz com os alunos. Se necessário, retome as atividades da página 64 do Livro do Estudante, que trabalha os dias da semana por meio dos exemplos da rotina de uma personagem.</w:t>
      </w:r>
    </w:p>
    <w:p w:rsidR="00517BB6" w:rsidRDefault="00517BB6">
      <w:pPr>
        <w:pStyle w:val="00textosemparagrafo"/>
      </w:pPr>
    </w:p>
    <w:p w:rsidR="00517BB6" w:rsidRDefault="008F794B">
      <w:pPr>
        <w:pStyle w:val="00textosemparagrafo"/>
        <w:rPr>
          <w:b/>
        </w:rPr>
      </w:pPr>
      <w:r>
        <w:rPr>
          <w:b/>
        </w:rPr>
        <w:t>8. Alternativa B.</w:t>
      </w:r>
    </w:p>
    <w:p w:rsidR="00517BB6" w:rsidRDefault="008F794B">
      <w:pPr>
        <w:pStyle w:val="00textosemparagrafo"/>
        <w:ind w:firstLine="567"/>
      </w:pPr>
      <w:r>
        <w:t>Caso os alunos tenham assinalado outra alternativa, verifique se eles compreenderam os conceitos que envolvem passagem do tempo. Se necessário, faça uma atividade prática com os alunos explicando como os eventos são medidos por unidades mais imediatas e outras mais demoradas. Inicie a contagem dizendo que já passou um segundo. Informe, depois, a passagem de um minuto, de um dia e de uma semana. Pergunte, então, se notaram a diferença de tempo entre um aviso e outro – que pode ser marcado no quadro de giz – para facilitar a visualização. Assim eles poderão notar as diferentes durações de cada unidade de medida.</w:t>
      </w:r>
    </w:p>
    <w:p w:rsidR="00517BB6" w:rsidRDefault="00517BB6">
      <w:pPr>
        <w:pStyle w:val="00textosemparagrafo"/>
      </w:pPr>
    </w:p>
    <w:p w:rsidR="00517BB6" w:rsidRDefault="008F794B">
      <w:pPr>
        <w:pStyle w:val="00textosemparagrafo"/>
        <w:rPr>
          <w:b/>
        </w:rPr>
      </w:pPr>
      <w:r>
        <w:rPr>
          <w:b/>
        </w:rPr>
        <w:t>9.</w:t>
      </w:r>
    </w:p>
    <w:p w:rsidR="00517BB6" w:rsidRDefault="008F794B">
      <w:pPr>
        <w:pStyle w:val="00Textogeralbullet"/>
        <w:numPr>
          <w:ilvl w:val="0"/>
          <w:numId w:val="1"/>
        </w:numPr>
      </w:pPr>
      <w:r>
        <w:t>À direita.</w:t>
      </w:r>
    </w:p>
    <w:p w:rsidR="00517BB6" w:rsidRDefault="008F794B">
      <w:pPr>
        <w:pStyle w:val="00Textogeralbullet"/>
        <w:numPr>
          <w:ilvl w:val="0"/>
          <w:numId w:val="1"/>
        </w:numPr>
      </w:pPr>
      <w:r>
        <w:t>À esquerda.</w:t>
      </w:r>
    </w:p>
    <w:p w:rsidR="00517BB6" w:rsidRDefault="008F794B">
      <w:pPr>
        <w:pStyle w:val="00Textogeralbullet"/>
        <w:numPr>
          <w:ilvl w:val="0"/>
          <w:numId w:val="1"/>
        </w:numPr>
      </w:pPr>
      <w:r>
        <w:t>Em frente.</w:t>
      </w:r>
    </w:p>
    <w:p w:rsidR="00517BB6" w:rsidRDefault="008F794B">
      <w:pPr>
        <w:pStyle w:val="00textosemparagrafo"/>
        <w:ind w:firstLine="567"/>
      </w:pPr>
      <w:r>
        <w:t xml:space="preserve">Verifique, inicialmente, se os alunos conseguem identificar as direções em relação ao desenho, buscando sanar qualquer dúvida nesse sentido. Caso eles tenham dificuldades em responder corretamente as direções, avalie a possibilidade de levar a turma para o pátio e propor uma brincadeira. Faça como “o mestre mandou”: os alunos devem ficar na posição que quiserem e devem seguir na direção que você indicar. Diferentemente da brincadeira original, os alunos não sairão quando errarem, </w:t>
      </w:r>
      <w:proofErr w:type="gramStart"/>
      <w:r>
        <w:t>pois</w:t>
      </w:r>
      <w:proofErr w:type="gramEnd"/>
      <w:r>
        <w:t xml:space="preserve"> a proposta é que aprendam, e não disputem uns com os outros. Certifique-se de utilizar todas as direções ensinadas em sala de aula e apreensíveis à faixa etária verificando a reação dos alunos a cada comando.</w:t>
      </w:r>
    </w:p>
    <w:p w:rsidR="00517BB6" w:rsidRDefault="008F794B">
      <w:pPr>
        <w:rPr>
          <w:rFonts w:ascii="Arial" w:hAnsi="Arial" w:cs="Arial"/>
          <w:color w:val="000000"/>
          <w:sz w:val="22"/>
          <w:szCs w:val="22"/>
          <w:lang w:val="pt-BR"/>
        </w:rPr>
      </w:pPr>
      <w:r w:rsidRPr="00776CCF">
        <w:rPr>
          <w:lang w:val="pt-BR"/>
        </w:rPr>
        <w:br w:type="page"/>
      </w:r>
    </w:p>
    <w:p w:rsidR="00517BB6" w:rsidRDefault="008F794B">
      <w:pPr>
        <w:pStyle w:val="00textosemparagrafo"/>
        <w:rPr>
          <w:b/>
        </w:rPr>
      </w:pPr>
      <w:r>
        <w:rPr>
          <w:b/>
        </w:rPr>
        <w:lastRenderedPageBreak/>
        <w:t>10. Respostas variáveis.</w:t>
      </w:r>
    </w:p>
    <w:p w:rsidR="00517BB6" w:rsidRDefault="008F794B">
      <w:pPr>
        <w:pStyle w:val="00textosemparagrafo"/>
        <w:ind w:firstLine="567"/>
      </w:pPr>
      <w:r>
        <w:t>Avalie se os alunos compreenderam as noções de tempo climático e se representaram o modo como o dia estava no momento da avaliação. Espera-se que eles identifiquem se o tempo está nublado, chuvoso ou ensolarado e as atividades ao ar livre adequadas a ele. Caso haja dificuldade, verifique se há compreensão dos conceitos fazendo desenhos de exemplos no quadro de giz. Você pode desenhar um dia ensolarado, perguntar como está esse dia e o que os alunos costumam ou gostam de fazer em dias assim.</w:t>
      </w:r>
    </w:p>
    <w:p w:rsidR="00517BB6" w:rsidRDefault="00517BB6">
      <w:pPr>
        <w:pStyle w:val="00textosemparagrafo"/>
      </w:pPr>
    </w:p>
    <w:p w:rsidR="00517BB6" w:rsidRDefault="008F794B">
      <w:pPr>
        <w:pStyle w:val="00textosemparagrafo"/>
        <w:rPr>
          <w:b/>
        </w:rPr>
      </w:pPr>
      <w:r>
        <w:rPr>
          <w:b/>
        </w:rPr>
        <w:t>11. Alternativa D.</w:t>
      </w:r>
    </w:p>
    <w:p w:rsidR="00517BB6" w:rsidRDefault="008F794B">
      <w:pPr>
        <w:pStyle w:val="00textosemparagrafo"/>
        <w:ind w:firstLine="567"/>
      </w:pPr>
      <w:r>
        <w:t>Caso os alunos apresentem dificuldades ou confundam algumas peças de roupas e acessórios adequados aos dias de calor, repasse cada uma das imagens das alternativas, questionando-os sobre a função de uma das peças ou dos acessórios. Dessa forma, leve-os a inferir quais são úteis e adequados aos dias quentes, aos dias frios e aos dias chuvosos.</w:t>
      </w:r>
    </w:p>
    <w:p w:rsidR="00517BB6" w:rsidRDefault="00517BB6">
      <w:pPr>
        <w:pStyle w:val="00textosemparagrafo"/>
      </w:pPr>
    </w:p>
    <w:p w:rsidR="00517BB6" w:rsidRDefault="008F794B">
      <w:pPr>
        <w:pStyle w:val="00textosemparagrafo"/>
        <w:rPr>
          <w:b/>
        </w:rPr>
      </w:pPr>
      <w:r>
        <w:rPr>
          <w:b/>
        </w:rPr>
        <w:t>12.</w:t>
      </w:r>
    </w:p>
    <w:p w:rsidR="00517BB6" w:rsidRDefault="008F794B">
      <w:pPr>
        <w:pStyle w:val="00Textogeralbullet"/>
        <w:numPr>
          <w:ilvl w:val="0"/>
          <w:numId w:val="1"/>
        </w:numPr>
      </w:pPr>
      <w:r>
        <w:t>Pedro e seu avô passam pela sorveteria e pela farmácia.</w:t>
      </w:r>
    </w:p>
    <w:p w:rsidR="00517BB6" w:rsidRDefault="008F794B">
      <w:pPr>
        <w:pStyle w:val="00Textogeralbullet"/>
        <w:numPr>
          <w:ilvl w:val="0"/>
          <w:numId w:val="1"/>
        </w:numPr>
      </w:pPr>
      <w:r>
        <w:t>Para irem à sorveteria, eles devem virar à esquerda.</w:t>
      </w:r>
    </w:p>
    <w:p w:rsidR="00517BB6" w:rsidRDefault="008F794B">
      <w:pPr>
        <w:pStyle w:val="00Textogeralbullet"/>
        <w:numPr>
          <w:ilvl w:val="0"/>
          <w:numId w:val="1"/>
        </w:numPr>
      </w:pPr>
      <w:r>
        <w:t>Para irem ao mercado, eles devem virar à direita.</w:t>
      </w:r>
    </w:p>
    <w:p w:rsidR="00517BB6" w:rsidRDefault="008F794B">
      <w:pPr>
        <w:pStyle w:val="00textosemparagrafo"/>
        <w:ind w:firstLine="567"/>
      </w:pPr>
      <w:r>
        <w:t>Caso os alunos demonstrem dificuldade em responder às questões, avalie se eles identificam o que está representado na ilustração e se compreendem o que está sendo pedido. É possível que os conceitos estejam claros, mas talvez a operação procedimental exigida, de associar o comando ao que é necessário para realizá-lo, seja complexa. Trabalhe essa noção com os alunos aplicando exercícios de labirinto, por exemplo. Se necessário, retome a abordagem das terminologias que indicam direção, da página 65 do Livro do Estudante, e verifique se os alunos dominam todas plenamente.</w:t>
      </w:r>
    </w:p>
    <w:p w:rsidR="00517BB6" w:rsidRDefault="00517BB6">
      <w:pPr>
        <w:pStyle w:val="00textosemparagrafo"/>
      </w:pPr>
    </w:p>
    <w:p w:rsidR="00517BB6" w:rsidRDefault="008F794B">
      <w:pPr>
        <w:pStyle w:val="00textosemparagrafo"/>
        <w:rPr>
          <w:b/>
        </w:rPr>
      </w:pPr>
      <w:r>
        <w:rPr>
          <w:b/>
        </w:rPr>
        <w:t>13. Alternativa B.</w:t>
      </w:r>
    </w:p>
    <w:p w:rsidR="00517BB6" w:rsidRDefault="008F794B">
      <w:pPr>
        <w:pStyle w:val="00textosemparagrafo"/>
        <w:ind w:firstLine="567"/>
        <w:rPr>
          <w:i/>
        </w:rPr>
      </w:pPr>
      <w:r>
        <w:t xml:space="preserve">Caso os alunos assinalem outra alternativa, avalie se eles compreenderam que a questão aponta uma atitude incorreta. Se necessário, converse com a turma sobre as boas práticas em espaços públicos, especialmente na praia, onde é necessário manter a limpeza e não jogar lixo no chão. Lembre-os dos desenhos que produziram para a seção </w:t>
      </w:r>
      <w:r>
        <w:rPr>
          <w:i/>
        </w:rPr>
        <w:t>O mundo que queremos</w:t>
      </w:r>
      <w:r>
        <w:t>, nas páginas 76 e 77 do Livro do Estudante,</w:t>
      </w:r>
      <w:r>
        <w:rPr>
          <w:i/>
        </w:rPr>
        <w:t xml:space="preserve"> </w:t>
      </w:r>
      <w:r>
        <w:t>representando os cuidados para manter a praia limpa.</w:t>
      </w:r>
    </w:p>
    <w:p w:rsidR="00517BB6" w:rsidRDefault="00517BB6">
      <w:pPr>
        <w:pStyle w:val="00textosemparagrafo"/>
      </w:pPr>
    </w:p>
    <w:p w:rsidR="00517BB6" w:rsidRDefault="008F794B">
      <w:pPr>
        <w:pStyle w:val="00textosemparagrafo"/>
        <w:rPr>
          <w:b/>
        </w:rPr>
      </w:pPr>
      <w:r>
        <w:rPr>
          <w:b/>
        </w:rPr>
        <w:t>14. Respostas variáveis.</w:t>
      </w:r>
    </w:p>
    <w:p w:rsidR="00517BB6" w:rsidRDefault="008F794B">
      <w:pPr>
        <w:pStyle w:val="00textosemparagrafo"/>
        <w:ind w:firstLine="720"/>
      </w:pPr>
      <w:r>
        <w:t>Os alunos podem citar: brincar com os amigos, fazer piquenique, passear com animais de estimação, cuidar das plantas, passear, conversar, observar os seres vivos, fazer novas amizades. O importante é que os alunos reconheçam que as praças são espaços públicos de lazer e convivência. Se julgar necessário, retome o conteúdo das páginas 71 a 75, que apresentam exemplos de espaços públicos, como parques, praças, museus e praia, e de atividades que podem ser realizadas neles.</w:t>
      </w:r>
    </w:p>
    <w:p w:rsidR="00517BB6" w:rsidRDefault="00517BB6">
      <w:pPr>
        <w:rPr>
          <w:rFonts w:ascii="Arial" w:hAnsi="Arial" w:cs="Arial"/>
          <w:color w:val="000000"/>
          <w:sz w:val="22"/>
          <w:szCs w:val="22"/>
          <w:lang w:val="pt-BR"/>
        </w:rPr>
      </w:pPr>
    </w:p>
    <w:p w:rsidR="00517BB6" w:rsidRDefault="008F794B">
      <w:pPr>
        <w:pStyle w:val="00textosemparagrafo"/>
        <w:rPr>
          <w:b/>
        </w:rPr>
      </w:pPr>
      <w:r>
        <w:rPr>
          <w:b/>
        </w:rPr>
        <w:t xml:space="preserve">15. Alternativa </w:t>
      </w:r>
      <w:r w:rsidR="008B19DF">
        <w:rPr>
          <w:b/>
        </w:rPr>
        <w:t>C</w:t>
      </w:r>
      <w:bookmarkStart w:id="5" w:name="_GoBack"/>
      <w:bookmarkEnd w:id="5"/>
      <w:r>
        <w:rPr>
          <w:b/>
        </w:rPr>
        <w:t>.</w:t>
      </w:r>
    </w:p>
    <w:p w:rsidR="00517BB6" w:rsidRDefault="008F794B">
      <w:pPr>
        <w:pStyle w:val="00textosemparagrafo"/>
        <w:ind w:firstLine="567"/>
      </w:pPr>
      <w:r>
        <w:t>Caso os alunos associem os museus à ideia de objetos antigos, histórias do passado e salvaguarda de patrimônios históricos, relembre-os que os museus também podem apresentar exposições sobre seres vivos, ciência, tecnologia, aspectos culturais e atuais. Retome a leitura da página 74 do Livro do Estudante, que apresenta dois exemplos de museus diferentes de museus históricos.</w:t>
      </w:r>
    </w:p>
    <w:sectPr w:rsidR="00517BB6">
      <w:headerReference w:type="default" r:id="rId8"/>
      <w:footerReference w:type="default" r:id="rId9"/>
      <w:pgSz w:w="11906" w:h="16838"/>
      <w:pgMar w:top="2268" w:right="1134" w:bottom="1134" w:left="1134" w:header="1134" w:footer="490" w:gutter="0"/>
      <w:pgNumType w:start="1"/>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599D" w:rsidRDefault="0009599D">
      <w:r>
        <w:separator/>
      </w:r>
    </w:p>
  </w:endnote>
  <w:endnote w:type="continuationSeparator" w:id="0">
    <w:p w:rsidR="0009599D" w:rsidRDefault="00095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EB2E297E-477E-44B1-BCA6-77EA0403F5F3}"/>
  </w:font>
  <w:font w:name="Times New Roman">
    <w:panose1 w:val="02020603050405020304"/>
    <w:charset w:val="00"/>
    <w:family w:val="roman"/>
    <w:pitch w:val="variable"/>
    <w:sig w:usb0="E0002EFF" w:usb1="C000785B" w:usb2="00000009" w:usb3="00000000" w:csb0="000001FF" w:csb1="00000000"/>
    <w:embedRegular r:id="rId2" w:fontKey="{5F74953B-517F-4BCF-BAD9-169013B33D90}"/>
    <w:embedBold r:id="rId3" w:fontKey="{8B612D54-EC00-4B65-B871-AFD6E469E5B9}"/>
  </w:font>
  <w:font w:name="Courier New">
    <w:panose1 w:val="02070309020205020404"/>
    <w:charset w:val="00"/>
    <w:family w:val="modern"/>
    <w:pitch w:val="fixed"/>
    <w:sig w:usb0="E0002EFF" w:usb1="C0007843" w:usb2="00000009" w:usb3="00000000" w:csb0="000001FF" w:csb1="00000000"/>
    <w:embedRegular r:id="rId4" w:fontKey="{4FCBA760-4D70-4E40-A57F-F0BC7E67211A}"/>
  </w:font>
  <w:font w:name="Wingdings">
    <w:panose1 w:val="05000000000000000000"/>
    <w:charset w:val="02"/>
    <w:family w:val="auto"/>
    <w:pitch w:val="variable"/>
    <w:sig w:usb0="00000000" w:usb1="10000000" w:usb2="00000000" w:usb3="00000000" w:csb0="80000000" w:csb1="00000000"/>
    <w:embedRegular r:id="rId5" w:fontKey="{CA7073C4-87AC-4BFC-A0AB-AE6FC329A390}"/>
  </w:font>
  <w:font w:name="Calibri">
    <w:panose1 w:val="020F0502020204030204"/>
    <w:charset w:val="00"/>
    <w:family w:val="swiss"/>
    <w:pitch w:val="variable"/>
    <w:sig w:usb0="E0002AFF" w:usb1="C000247B" w:usb2="00000009" w:usb3="00000000" w:csb0="000001FF" w:csb1="00000000"/>
    <w:embedRegular r:id="rId6" w:fontKey="{E4FD5D01-D968-4C1D-A936-FAAC8101DBDA}"/>
    <w:embedBold r:id="rId7" w:fontKey="{50472374-4FDF-4DF1-B589-7CD8C58DF4F8}"/>
    <w:embedItalic r:id="rId8" w:fontKey="{04A4E6E1-7270-4605-A511-07C7867C0CF3}"/>
    <w:embedBoldItalic r:id="rId9" w:fontKey="{D8EB7A67-601E-4136-A910-4EA52E17A01E}"/>
  </w:font>
  <w:font w:name="Segoe UI">
    <w:panose1 w:val="020B0502040204020203"/>
    <w:charset w:val="00"/>
    <w:family w:val="swiss"/>
    <w:pitch w:val="variable"/>
    <w:sig w:usb0="E4002EFF" w:usb1="C000E47F" w:usb2="00000009" w:usb3="00000000" w:csb0="000001FF" w:csb1="00000000"/>
    <w:embedRegular r:id="rId10" w:fontKey="{BDC0123F-1182-4AD2-BD19-7866CF337904}"/>
  </w:font>
  <w:font w:name="Arial">
    <w:panose1 w:val="020B0604020202020204"/>
    <w:charset w:val="00"/>
    <w:family w:val="swiss"/>
    <w:pitch w:val="variable"/>
    <w:sig w:usb0="E0002EFF" w:usb1="C0007843" w:usb2="00000009" w:usb3="00000000" w:csb0="000001FF" w:csb1="00000000"/>
    <w:embedRegular r:id="rId11" w:fontKey="{20B69F6B-C28B-4FF4-B772-84158C955AAC}"/>
    <w:embedBold r:id="rId12" w:fontKey="{B367B1FC-9113-46AA-99D9-EBFDE2C988D9}"/>
    <w:embedItalic r:id="rId13" w:fontKey="{CE579B77-D19C-4497-93A3-AFDE3A9FA360}"/>
  </w:font>
  <w:font w:name="Liberation Sans">
    <w:altName w:val="Arial"/>
    <w:panose1 w:val="020B0604020202020204"/>
    <w:charset w:val="00"/>
    <w:family w:val="swiss"/>
    <w:pitch w:val="variable"/>
    <w:sig w:usb0="E0000AFF" w:usb1="500078FF" w:usb2="00000021" w:usb3="00000000" w:csb0="000001BF" w:csb1="00000000"/>
    <w:embedRegular r:id="rId14" w:fontKey="{CED77098-5AF9-42EB-A70D-4ACB582BB51E}"/>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5" w:fontKey="{BD73D758-BE60-46FD-B9DC-093CA24EAD41}"/>
    <w:embedItalic r:id="rId16" w:fontKey="{37D80E68-E66A-47A4-9E09-295262F5DE16}"/>
  </w:font>
  <w:font w:name="Cambria-Bold">
    <w:altName w:val="Cambria"/>
    <w:charset w:val="00"/>
    <w:family w:val="roman"/>
    <w:pitch w:val="variable"/>
  </w:font>
  <w:font w:name="Cambria Bold">
    <w:panose1 w:val="02040803050406030204"/>
    <w:charset w:val="00"/>
    <w:family w:val="roman"/>
    <w:pitch w:val="variable"/>
  </w:font>
  <w:font w:name="Cambria">
    <w:panose1 w:val="02040503050406030204"/>
    <w:charset w:val="00"/>
    <w:family w:val="roman"/>
    <w:pitch w:val="variable"/>
    <w:sig w:usb0="E00002FF" w:usb1="400004FF" w:usb2="00000000" w:usb3="00000000" w:csb0="0000019F" w:csb1="00000000"/>
    <w:embedRegular r:id="rId17" w:fontKey="{E98DDE01-2321-4294-B3B2-551B0786C758}"/>
  </w:font>
  <w:font w:name="Tahoma">
    <w:panose1 w:val="020B0604030504040204"/>
    <w:charset w:val="00"/>
    <w:family w:val="swiss"/>
    <w:pitch w:val="variable"/>
    <w:sig w:usb0="E1002EFF" w:usb1="C000605B" w:usb2="00000029" w:usb3="00000000" w:csb0="000101FF" w:csb1="00000000"/>
    <w:embedRegular r:id="rId18" w:fontKey="{F2FCB7AD-12CD-4D47-9FDA-8572ACAD802F}"/>
    <w:embedBold r:id="rId19" w:fontKey="{33980067-7C39-4DF2-88B0-213D44399FD8}"/>
    <w:embedItalic r:id="rId20" w:fontKey="{6D9358EC-8DA4-4419-8FA5-FBDF270AA085}"/>
  </w:font>
  <w:font w:name="Cambria-BoldItalic">
    <w:charset w:val="00"/>
    <w:family w:val="roman"/>
    <w:pitch w:val="variable"/>
  </w:font>
  <w:font w:name="Calibri Light">
    <w:panose1 w:val="020F0302020204030204"/>
    <w:charset w:val="00"/>
    <w:family w:val="swiss"/>
    <w:pitch w:val="variable"/>
    <w:sig w:usb0="E0002AFF" w:usb1="C000247B" w:usb2="00000009" w:usb3="00000000" w:csb0="000001FF" w:csb1="00000000"/>
    <w:embedRegular r:id="rId21" w:fontKey="{0FE4756C-24FA-4635-9DAB-25D76A2451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BB6" w:rsidRDefault="00776CCF">
    <w:pPr>
      <w:spacing w:after="160" w:line="252" w:lineRule="auto"/>
      <w:contextualSpacing/>
      <w:rPr>
        <w:rFonts w:ascii="Tahoma" w:eastAsiaTheme="minorHAnsi" w:hAnsi="Tahoma" w:cs="Tahoma"/>
        <w:sz w:val="14"/>
        <w:szCs w:val="14"/>
        <w:lang w:val="pt-BR" w:eastAsia="en-US"/>
      </w:rPr>
    </w:pPr>
    <w:r w:rsidRPr="00776CCF">
      <w:rPr>
        <w:rFonts w:ascii="Tahoma" w:hAnsi="Tahoma" w:cs="Tahoma"/>
        <w:iCs/>
        <w:sz w:val="14"/>
        <w:szCs w:val="14"/>
        <w:lang w:val="pt-BR"/>
      </w:rPr>
      <w:t>Este material está em Licença Aberta — CC BY NC (permite a edição ou a criação de obras derivadas sobre a obra com fins não comerciais, contanto que atribuam crédito e que licenciem as criações sob os mesmos parâmetros da Licença Aberta)</w:t>
    </w:r>
    <w:r w:rsidR="00D6318C">
      <w:rPr>
        <w:rFonts w:ascii="Tahoma" w:hAnsi="Tahoma" w:cs="Tahoma"/>
        <w:iCs/>
        <w:sz w:val="14"/>
        <w:szCs w:val="14"/>
        <w:lang w:val="pt-BR"/>
      </w:rPr>
      <w:t>.</w:t>
    </w:r>
  </w:p>
  <w:p w:rsidR="00517BB6" w:rsidRDefault="008F794B">
    <w:pPr>
      <w:ind w:right="-7"/>
      <w:jc w:val="right"/>
    </w:pPr>
    <w:r>
      <w:fldChar w:fldCharType="begin"/>
    </w:r>
    <w:r>
      <w:instrText>PAGE</w:instrText>
    </w:r>
    <w:r>
      <w:fldChar w:fldCharType="separate"/>
    </w:r>
    <w:r w:rsidR="008B19DF">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599D" w:rsidRDefault="0009599D">
      <w:r>
        <w:separator/>
      </w:r>
    </w:p>
  </w:footnote>
  <w:footnote w:type="continuationSeparator" w:id="0">
    <w:p w:rsidR="0009599D" w:rsidRDefault="000959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BB6" w:rsidRDefault="0056071F">
    <w:pPr>
      <w:ind w:right="360"/>
    </w:pPr>
    <w:r>
      <w:rPr>
        <w:noProof/>
      </w:rPr>
      <w:drawing>
        <wp:inline distT="0" distB="0" distL="0" distR="0">
          <wp:extent cx="5940000" cy="288000"/>
          <wp:effectExtent l="0" t="0" r="0" b="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TARJA_PBCHG1_MD_2Bim_G19_novo.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235CC"/>
    <w:multiLevelType w:val="multilevel"/>
    <w:tmpl w:val="31ACFEC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7E0F5C29"/>
    <w:multiLevelType w:val="multilevel"/>
    <w:tmpl w:val="B88C773E"/>
    <w:lvl w:ilvl="0">
      <w:start w:val="1"/>
      <w:numFmt w:val="bullet"/>
      <w:lvlText w:val=""/>
      <w:lvlJc w:val="left"/>
      <w:pPr>
        <w:ind w:left="284" w:hanging="284"/>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BB6"/>
    <w:rsid w:val="0009599D"/>
    <w:rsid w:val="0011124A"/>
    <w:rsid w:val="00400D0B"/>
    <w:rsid w:val="00517BB6"/>
    <w:rsid w:val="0056071F"/>
    <w:rsid w:val="00776CCF"/>
    <w:rsid w:val="007D708F"/>
    <w:rsid w:val="008B19DF"/>
    <w:rsid w:val="008F794B"/>
    <w:rsid w:val="00D6318C"/>
    <w:rsid w:val="00EC4B54"/>
    <w:rsid w:val="00F41E5E"/>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8230F"/>
  <w15:docId w15:val="{44238312-C627-432E-853E-825595E8A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D4E53"/>
    <w:rPr>
      <w:rFonts w:ascii="Calibri" w:eastAsiaTheme="minorEastAsia" w:hAnsi="Calibri"/>
      <w:lang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uiPriority w:val="99"/>
    <w:semiHidden/>
    <w:unhideWhenUsed/>
    <w:qFormat/>
    <w:rsid w:val="006C466B"/>
  </w:style>
  <w:style w:type="character" w:customStyle="1" w:styleId="RodapChar">
    <w:name w:val="Rodapé Char"/>
    <w:basedOn w:val="Fontepargpadro"/>
    <w:link w:val="Rodap"/>
    <w:uiPriority w:val="99"/>
    <w:qFormat/>
    <w:rsid w:val="00792481"/>
    <w:rPr>
      <w:rFonts w:eastAsiaTheme="minorEastAsia"/>
      <w:lang w:eastAsia="es-ES"/>
    </w:rPr>
  </w:style>
  <w:style w:type="character" w:customStyle="1" w:styleId="TextodecomentrioChar">
    <w:name w:val="Texto de comentário Char"/>
    <w:basedOn w:val="Fontepargpadro"/>
    <w:link w:val="Textodecomentrio"/>
    <w:uiPriority w:val="99"/>
    <w:qFormat/>
    <w:rsid w:val="00026AE0"/>
    <w:rPr>
      <w:sz w:val="20"/>
      <w:szCs w:val="20"/>
      <w:lang w:val="pt-BR"/>
    </w:rPr>
  </w:style>
  <w:style w:type="character" w:customStyle="1" w:styleId="CabealhoChar">
    <w:name w:val="Cabeçalho Char"/>
    <w:basedOn w:val="Fontepargpadro"/>
    <w:link w:val="Cabealho"/>
    <w:uiPriority w:val="99"/>
    <w:qFormat/>
    <w:rsid w:val="00230939"/>
    <w:rPr>
      <w:rFonts w:eastAsiaTheme="minorEastAsia"/>
      <w:lang w:eastAsia="es-ES"/>
    </w:rPr>
  </w:style>
  <w:style w:type="character" w:customStyle="1" w:styleId="TextodebaloChar">
    <w:name w:val="Texto de balão Char"/>
    <w:basedOn w:val="Fontepargpadro"/>
    <w:link w:val="Textodebalo"/>
    <w:uiPriority w:val="99"/>
    <w:semiHidden/>
    <w:qFormat/>
    <w:rsid w:val="00BD4E53"/>
    <w:rPr>
      <w:rFonts w:ascii="Segoe UI" w:eastAsiaTheme="minorEastAsia" w:hAnsi="Segoe UI" w:cs="Segoe UI"/>
      <w:sz w:val="18"/>
      <w:szCs w:val="18"/>
      <w:lang w:eastAsia="es-ES"/>
    </w:rPr>
  </w:style>
  <w:style w:type="character" w:customStyle="1" w:styleId="TextodenotaderodapChar">
    <w:name w:val="Texto de nota de rodapé Char"/>
    <w:basedOn w:val="Fontepargpadro"/>
    <w:link w:val="Textodenotaderodap"/>
    <w:uiPriority w:val="99"/>
    <w:semiHidden/>
    <w:qFormat/>
    <w:rsid w:val="00C53DE1"/>
    <w:rPr>
      <w:sz w:val="20"/>
      <w:szCs w:val="20"/>
      <w:lang w:val="pt-BR"/>
    </w:rPr>
  </w:style>
  <w:style w:type="character" w:styleId="Refdenotaderodap">
    <w:name w:val="footnote reference"/>
    <w:basedOn w:val="Fontepargpadro"/>
    <w:uiPriority w:val="99"/>
    <w:semiHidden/>
    <w:unhideWhenUsed/>
    <w:qFormat/>
    <w:rsid w:val="00C53DE1"/>
    <w:rPr>
      <w:vertAlign w:val="superscript"/>
    </w:rPr>
  </w:style>
  <w:style w:type="character" w:styleId="TextodoEspaoReservado">
    <w:name w:val="Placeholder Text"/>
    <w:basedOn w:val="Fontepargpadro"/>
    <w:uiPriority w:val="99"/>
    <w:semiHidden/>
    <w:qFormat/>
    <w:rsid w:val="00121AEE"/>
    <w:rPr>
      <w:color w:val="808080"/>
    </w:rPr>
  </w:style>
  <w:style w:type="character" w:styleId="Refdecomentrio">
    <w:name w:val="annotation reference"/>
    <w:basedOn w:val="Fontepargpadro"/>
    <w:uiPriority w:val="99"/>
    <w:semiHidden/>
    <w:unhideWhenUsed/>
    <w:qFormat/>
    <w:rsid w:val="00B22C63"/>
    <w:rPr>
      <w:sz w:val="16"/>
      <w:szCs w:val="16"/>
    </w:rPr>
  </w:style>
  <w:style w:type="character" w:customStyle="1" w:styleId="AssuntodocomentrioChar">
    <w:name w:val="Assunto do comentário Char"/>
    <w:basedOn w:val="TextodecomentrioChar"/>
    <w:link w:val="Assuntodocomentrio"/>
    <w:uiPriority w:val="99"/>
    <w:semiHidden/>
    <w:qFormat/>
    <w:rsid w:val="00B22C63"/>
    <w:rPr>
      <w:rFonts w:eastAsiaTheme="minorEastAsia"/>
      <w:b/>
      <w:bCs/>
      <w:sz w:val="20"/>
      <w:szCs w:val="20"/>
      <w:lang w:val="pt-BR" w:eastAsia="es-E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color w:val="00000A"/>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color w:val="00000A"/>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Arial"/>
      <w:b/>
      <w:color w:val="00000A"/>
      <w:sz w:val="24"/>
    </w:rPr>
  </w:style>
  <w:style w:type="character" w:customStyle="1" w:styleId="ListLabel46">
    <w:name w:val="ListLabel 46"/>
    <w:qFormat/>
    <w:rPr>
      <w:rFonts w:cs="Arial"/>
      <w:b/>
      <w:color w:val="00000A"/>
      <w:sz w:val="24"/>
    </w:rPr>
  </w:style>
  <w:style w:type="character" w:customStyle="1" w:styleId="ListLabel47">
    <w:name w:val="ListLabel 47"/>
    <w:qFormat/>
    <w:rPr>
      <w:rFonts w:cs="Arial"/>
      <w:b/>
      <w:color w:val="00000A"/>
      <w:sz w:val="24"/>
    </w:rPr>
  </w:style>
  <w:style w:type="character" w:customStyle="1" w:styleId="ListLabel48">
    <w:name w:val="ListLabel 48"/>
    <w:qFormat/>
    <w:rPr>
      <w:rFonts w:cs="Arial"/>
      <w:b/>
      <w:color w:val="00000A"/>
      <w:sz w:val="24"/>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eastAsia="Arial"/>
      <w:b/>
      <w:color w:val="00000A"/>
      <w:sz w:val="22"/>
    </w:rPr>
  </w:style>
  <w:style w:type="character" w:customStyle="1" w:styleId="ListLabel74">
    <w:name w:val="ListLabel 74"/>
    <w:qFormat/>
    <w:rPr>
      <w:b/>
      <w:color w:val="00000A"/>
      <w:sz w:val="24"/>
      <w:szCs w:val="24"/>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00Textogeralbullet">
    <w:name w:val="00_Texto_geral_bullet"/>
    <w:basedOn w:val="Normal"/>
    <w:autoRedefine/>
    <w:uiPriority w:val="99"/>
    <w:qFormat/>
    <w:rsid w:val="007B3279"/>
    <w:pPr>
      <w:widowControl w:val="0"/>
      <w:tabs>
        <w:tab w:val="left" w:pos="300"/>
      </w:tabs>
      <w:spacing w:before="85" w:after="57" w:line="250" w:lineRule="atLeast"/>
      <w:textAlignment w:val="center"/>
    </w:pPr>
    <w:rPr>
      <w:rFonts w:ascii="Arial" w:hAnsi="Arial" w:cs="Arial"/>
      <w:b/>
      <w:color w:val="000000"/>
      <w:spacing w:val="-2"/>
      <w:sz w:val="22"/>
      <w:szCs w:val="22"/>
      <w:lang w:val="pt-BR"/>
    </w:rPr>
  </w:style>
  <w:style w:type="paragraph" w:customStyle="1" w:styleId="00Textogeralroman">
    <w:name w:val="00_Texto_geral_roman"/>
    <w:basedOn w:val="00Textogeralbullet"/>
    <w:qFormat/>
    <w:rsid w:val="00F8054F"/>
  </w:style>
  <w:style w:type="paragraph" w:customStyle="1" w:styleId="00peso3">
    <w:name w:val="00_peso 3"/>
    <w:basedOn w:val="Normal"/>
    <w:autoRedefine/>
    <w:qFormat/>
    <w:rsid w:val="00445CF6"/>
    <w:pPr>
      <w:widowControl w:val="0"/>
      <w:tabs>
        <w:tab w:val="left" w:pos="283"/>
      </w:tabs>
      <w:suppressAutoHyphens/>
      <w:spacing w:line="280" w:lineRule="atLeast"/>
      <w:ind w:left="284" w:hanging="284"/>
      <w:textAlignment w:val="center"/>
    </w:pPr>
    <w:rPr>
      <w:rFonts w:ascii="Cambria-Bold" w:hAnsi="Cambria-Bold" w:cs="Cambria-Bold"/>
      <w:b/>
      <w:bCs/>
      <w:color w:val="000000"/>
      <w:szCs w:val="27"/>
      <w:lang w:val="pt-BR"/>
    </w:rPr>
  </w:style>
  <w:style w:type="paragraph" w:customStyle="1" w:styleId="00cabeos">
    <w:name w:val="00_cabeços"/>
    <w:autoRedefine/>
    <w:qFormat/>
    <w:rsid w:val="00771605"/>
    <w:pPr>
      <w:outlineLvl w:val="0"/>
    </w:pPr>
    <w:rPr>
      <w:rFonts w:ascii="Cambria Bold" w:eastAsiaTheme="minorEastAsia" w:hAnsi="Cambria Bold" w:cs="Cambria"/>
      <w:b/>
      <w:caps/>
      <w:color w:val="F37020"/>
      <w:sz w:val="32"/>
      <w:szCs w:val="32"/>
      <w:lang w:val="pt-BR" w:eastAsia="es-ES"/>
    </w:rPr>
  </w:style>
  <w:style w:type="paragraph" w:customStyle="1" w:styleId="00Textogeral">
    <w:name w:val="00_Texto_geral"/>
    <w:basedOn w:val="Normal"/>
    <w:uiPriority w:val="99"/>
    <w:qFormat/>
    <w:rsid w:val="00BC0171"/>
    <w:pPr>
      <w:widowControl w:val="0"/>
      <w:spacing w:after="57" w:line="250" w:lineRule="atLeast"/>
      <w:ind w:firstLine="283"/>
      <w:jc w:val="both"/>
      <w:textAlignment w:val="center"/>
    </w:pPr>
    <w:rPr>
      <w:rFonts w:ascii="Tahoma" w:hAnsi="Tahoma" w:cs="Tahoma"/>
      <w:color w:val="000000"/>
      <w:sz w:val="22"/>
      <w:szCs w:val="22"/>
      <w:lang w:val="pt-BR"/>
    </w:rPr>
  </w:style>
  <w:style w:type="paragraph" w:customStyle="1" w:styleId="00rostotituloautores">
    <w:name w:val="00_rosto_titulo_autores"/>
    <w:basedOn w:val="Normal"/>
    <w:qFormat/>
    <w:rsid w:val="008F4D50"/>
    <w:pPr>
      <w:jc w:val="center"/>
      <w:outlineLvl w:val="0"/>
    </w:pPr>
    <w:rPr>
      <w:rFonts w:ascii="Tahoma" w:hAnsi="Tahoma" w:cs="Tahoma"/>
      <w:b/>
      <w:caps/>
      <w:color w:val="FFFFFF" w:themeColor="background1"/>
      <w:sz w:val="36"/>
      <w:szCs w:val="36"/>
    </w:rPr>
  </w:style>
  <w:style w:type="paragraph" w:customStyle="1" w:styleId="00P1">
    <w:name w:val="00_P1"/>
    <w:basedOn w:val="Normal"/>
    <w:autoRedefine/>
    <w:qFormat/>
    <w:rsid w:val="0058178D"/>
    <w:pPr>
      <w:widowControl w:val="0"/>
      <w:suppressAutoHyphens/>
      <w:spacing w:line="400" w:lineRule="atLeast"/>
      <w:textAlignment w:val="center"/>
      <w:outlineLvl w:val="0"/>
    </w:pPr>
    <w:rPr>
      <w:rFonts w:ascii="Cambria-Bold" w:hAnsi="Cambria-Bold" w:cs="Cambria-Bold"/>
      <w:b/>
      <w:bCs/>
      <w:caps/>
      <w:color w:val="000000"/>
      <w:sz w:val="32"/>
      <w:szCs w:val="32"/>
      <w:lang w:val="pt-BR"/>
    </w:rPr>
  </w:style>
  <w:style w:type="paragraph" w:customStyle="1" w:styleId="00textosemparagrafo">
    <w:name w:val="00_texto_sem_paragrafo"/>
    <w:basedOn w:val="Normal"/>
    <w:qFormat/>
    <w:rsid w:val="00BD4E53"/>
    <w:pPr>
      <w:widowControl w:val="0"/>
      <w:spacing w:after="57" w:line="250" w:lineRule="atLeast"/>
      <w:jc w:val="both"/>
      <w:textAlignment w:val="center"/>
    </w:pPr>
    <w:rPr>
      <w:rFonts w:ascii="Arial" w:hAnsi="Arial" w:cs="Arial"/>
      <w:color w:val="000000"/>
      <w:sz w:val="22"/>
      <w:szCs w:val="22"/>
      <w:lang w:val="pt-BR"/>
    </w:rPr>
  </w:style>
  <w:style w:type="paragraph" w:customStyle="1" w:styleId="00PESO2">
    <w:name w:val="00_PESO_2"/>
    <w:basedOn w:val="00peso3"/>
    <w:uiPriority w:val="99"/>
    <w:qFormat/>
    <w:rsid w:val="00410CF3"/>
    <w:rPr>
      <w:sz w:val="29"/>
      <w:szCs w:val="29"/>
    </w:rPr>
  </w:style>
  <w:style w:type="paragraph" w:customStyle="1" w:styleId="00Peso4">
    <w:name w:val="00_Peso_4"/>
    <w:basedOn w:val="Normal"/>
    <w:uiPriority w:val="99"/>
    <w:qFormat/>
    <w:rsid w:val="00954260"/>
    <w:pPr>
      <w:widowControl w:val="0"/>
      <w:tabs>
        <w:tab w:val="left" w:pos="283"/>
      </w:tabs>
      <w:suppressAutoHyphens/>
      <w:spacing w:line="280" w:lineRule="atLeast"/>
      <w:ind w:left="284" w:hanging="284"/>
      <w:textAlignment w:val="center"/>
    </w:pPr>
    <w:rPr>
      <w:rFonts w:ascii="Cambria-BoldItalic" w:hAnsi="Cambria-BoldItalic" w:cs="Cambria-BoldItalic"/>
      <w:b/>
      <w:bCs/>
      <w:i/>
      <w:iCs/>
      <w:color w:val="000000"/>
      <w:u w:color="A6BD38"/>
      <w:lang w:val="pt-BR"/>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qFormat/>
    <w:rsid w:val="008F4D50"/>
    <w:pPr>
      <w:jc w:val="center"/>
      <w:outlineLvl w:val="0"/>
    </w:pPr>
    <w:rPr>
      <w:rFonts w:ascii="Tahoma" w:hAnsi="Tahoma" w:cs="Tahoma"/>
      <w:b/>
      <w:color w:val="FFFFFF" w:themeColor="background1"/>
      <w:sz w:val="28"/>
      <w:szCs w:val="28"/>
    </w:rPr>
  </w:style>
  <w:style w:type="paragraph" w:customStyle="1" w:styleId="00comandoatividade">
    <w:name w:val="00_comando_atividade"/>
    <w:basedOn w:val="00textosemparagrafo"/>
    <w:autoRedefine/>
    <w:qFormat/>
    <w:rsid w:val="00A222AD"/>
  </w:style>
  <w:style w:type="paragraph" w:styleId="Rodap">
    <w:name w:val="footer"/>
    <w:basedOn w:val="Normal"/>
    <w:link w:val="RodapChar"/>
    <w:uiPriority w:val="99"/>
    <w:unhideWhenUsed/>
    <w:rsid w:val="00792481"/>
    <w:pPr>
      <w:tabs>
        <w:tab w:val="center" w:pos="4680"/>
        <w:tab w:val="right" w:pos="9360"/>
      </w:tabs>
    </w:pPr>
  </w:style>
  <w:style w:type="paragraph" w:styleId="PargrafodaLista">
    <w:name w:val="List Paragraph"/>
    <w:basedOn w:val="Normal"/>
    <w:uiPriority w:val="34"/>
    <w:qFormat/>
    <w:rsid w:val="00AD2186"/>
    <w:pPr>
      <w:spacing w:after="160" w:line="259" w:lineRule="auto"/>
      <w:ind w:left="720"/>
      <w:contextualSpacing/>
    </w:pPr>
    <w:rPr>
      <w:rFonts w:eastAsiaTheme="minorHAnsi"/>
      <w:sz w:val="22"/>
      <w:szCs w:val="22"/>
      <w:lang w:val="pt-BR" w:eastAsia="en-US"/>
    </w:rPr>
  </w:style>
  <w:style w:type="paragraph" w:styleId="Textodecomentrio">
    <w:name w:val="annotation text"/>
    <w:basedOn w:val="Normal"/>
    <w:link w:val="TextodecomentrioChar"/>
    <w:uiPriority w:val="99"/>
    <w:unhideWhenUsed/>
    <w:qFormat/>
    <w:rsid w:val="00026AE0"/>
    <w:pPr>
      <w:spacing w:after="160"/>
    </w:pPr>
    <w:rPr>
      <w:rFonts w:eastAsiaTheme="minorHAnsi"/>
      <w:sz w:val="20"/>
      <w:szCs w:val="20"/>
      <w:lang w:val="pt-BR" w:eastAsia="en-US"/>
    </w:rPr>
  </w:style>
  <w:style w:type="paragraph" w:styleId="Cabealho">
    <w:name w:val="header"/>
    <w:basedOn w:val="Normal"/>
    <w:link w:val="CabealhoChar"/>
    <w:uiPriority w:val="99"/>
    <w:unhideWhenUsed/>
    <w:rsid w:val="00230939"/>
    <w:pPr>
      <w:tabs>
        <w:tab w:val="center" w:pos="4680"/>
        <w:tab w:val="right" w:pos="9360"/>
      </w:tabs>
    </w:pPr>
  </w:style>
  <w:style w:type="paragraph" w:styleId="Textodebalo">
    <w:name w:val="Balloon Text"/>
    <w:basedOn w:val="Normal"/>
    <w:link w:val="TextodebaloChar"/>
    <w:uiPriority w:val="99"/>
    <w:semiHidden/>
    <w:unhideWhenUsed/>
    <w:qFormat/>
    <w:rsid w:val="00BD4E53"/>
    <w:rPr>
      <w:rFonts w:ascii="Segoe UI" w:hAnsi="Segoe UI" w:cs="Segoe UI"/>
      <w:sz w:val="18"/>
      <w:szCs w:val="18"/>
    </w:rPr>
  </w:style>
  <w:style w:type="paragraph" w:styleId="Textodenotaderodap">
    <w:name w:val="footnote text"/>
    <w:basedOn w:val="Normal"/>
    <w:link w:val="TextodenotaderodapChar"/>
    <w:uiPriority w:val="99"/>
    <w:semiHidden/>
    <w:unhideWhenUsed/>
    <w:qFormat/>
    <w:rsid w:val="00C53DE1"/>
    <w:rPr>
      <w:rFonts w:eastAsiaTheme="minorHAnsi"/>
      <w:sz w:val="20"/>
      <w:szCs w:val="20"/>
      <w:lang w:val="pt-BR" w:eastAsia="en-US"/>
    </w:rPr>
  </w:style>
  <w:style w:type="paragraph" w:styleId="SemEspaamento">
    <w:name w:val="No Spacing"/>
    <w:uiPriority w:val="1"/>
    <w:qFormat/>
    <w:rsid w:val="001E4FE9"/>
    <w:rPr>
      <w:rFonts w:ascii="Calibri" w:eastAsiaTheme="minorEastAsia" w:hAnsi="Calibri"/>
      <w:lang w:eastAsia="es-ES"/>
    </w:rPr>
  </w:style>
  <w:style w:type="paragraph" w:styleId="Reviso">
    <w:name w:val="Revision"/>
    <w:uiPriority w:val="99"/>
    <w:semiHidden/>
    <w:qFormat/>
    <w:rsid w:val="00BF6DE4"/>
    <w:rPr>
      <w:rFonts w:ascii="Calibri" w:eastAsiaTheme="minorEastAsia" w:hAnsi="Calibri"/>
      <w:lang w:eastAsia="es-ES"/>
    </w:rPr>
  </w:style>
  <w:style w:type="paragraph" w:styleId="Assuntodocomentrio">
    <w:name w:val="annotation subject"/>
    <w:basedOn w:val="Textodecomentrio"/>
    <w:link w:val="AssuntodocomentrioChar"/>
    <w:uiPriority w:val="99"/>
    <w:semiHidden/>
    <w:unhideWhenUsed/>
    <w:qFormat/>
    <w:rsid w:val="00B22C63"/>
    <w:pPr>
      <w:spacing w:after="0"/>
    </w:pPr>
    <w:rPr>
      <w:rFonts w:eastAsiaTheme="minorEastAsia"/>
      <w:b/>
      <w:bCs/>
      <w:lang w:val="en-US" w:eastAsia="es-ES"/>
    </w:rPr>
  </w:style>
  <w:style w:type="paragraph" w:customStyle="1" w:styleId="western">
    <w:name w:val="western"/>
    <w:basedOn w:val="Normal"/>
    <w:qFormat/>
    <w:rsid w:val="00906E74"/>
    <w:pPr>
      <w:spacing w:beforeAutospacing="1" w:after="142" w:line="288" w:lineRule="auto"/>
    </w:pPr>
    <w:rPr>
      <w:rFonts w:eastAsia="Times New Roman" w:cs="Times New Roman"/>
      <w:color w:val="00000A"/>
      <w:lang w:val="pt-BR" w:eastAsia="pt-BR"/>
    </w:rPr>
  </w:style>
  <w:style w:type="paragraph" w:customStyle="1" w:styleId="Contedodoquadro">
    <w:name w:val="Conteúdo do quadro"/>
    <w:basedOn w:val="Normal"/>
    <w:qFormat/>
  </w:style>
  <w:style w:type="table" w:customStyle="1" w:styleId="tabelabimestre">
    <w:name w:val="tabela bimestre"/>
    <w:basedOn w:val="Tabelanormal"/>
    <w:uiPriority w:val="99"/>
    <w:rsid w:val="00746C25"/>
    <w:pPr>
      <w:jc w:val="center"/>
    </w:pPr>
    <w:rPr>
      <w:rFonts w:eastAsiaTheme="minorEastAsi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5A7BC7"/>
    <w:rPr>
      <w:rFonts w:eastAsiaTheme="minorEastAsia"/>
      <w:sz w:val="20"/>
      <w:lang w:eastAsia="es-ES"/>
    </w:rPr>
    <w:tblPr>
      <w:tblBorders>
        <w:top w:val="single" w:sz="4" w:space="0" w:color="F57921"/>
        <w:left w:val="single" w:sz="4" w:space="0" w:color="F57921"/>
        <w:bottom w:val="single" w:sz="4" w:space="0" w:color="F57921"/>
        <w:right w:val="single" w:sz="4" w:space="0" w:color="F57921"/>
      </w:tblBorders>
    </w:tblPr>
    <w:tcPr>
      <w:shd w:val="clear" w:color="auto" w:fill="auto"/>
      <w:vAlign w:val="center"/>
    </w:tcPr>
  </w:style>
  <w:style w:type="table" w:customStyle="1" w:styleId="TabelaAtividade">
    <w:name w:val="Tabela Atividade"/>
    <w:basedOn w:val="Tabelanormal"/>
    <w:uiPriority w:val="99"/>
    <w:rsid w:val="00686F06"/>
    <w:rPr>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b/>
        <w:i w:val="0"/>
        <w:color w:val="FFFFFF" w:themeColor="background1"/>
        <w:sz w:val="20"/>
      </w:rPr>
      <w:tblPr/>
      <w:tcPr>
        <w:shd w:val="clear" w:color="auto" w:fill="808080" w:themeFill="background1" w:themeFillShade="80"/>
      </w:tcPr>
    </w:tblStylePr>
    <w:tblStylePr w:type="band1Horz">
      <w:rPr>
        <w:b w:val="0"/>
      </w:rPr>
    </w:tblStylePr>
  </w:style>
  <w:style w:type="table" w:customStyle="1" w:styleId="TabelaAtividadeCabea">
    <w:name w:val="Tabela Atividade Cabeça"/>
    <w:basedOn w:val="TabelaAtividade"/>
    <w:uiPriority w:val="99"/>
    <w:rsid w:val="00841BD6"/>
    <w:pPr>
      <w:jc w:val="center"/>
    </w:pPr>
    <w:tblPr/>
    <w:tcPr>
      <w:shd w:val="clear" w:color="auto" w:fill="7F7F7F" w:themeFill="text1" w:themeFillTint="80"/>
    </w:tcPr>
    <w:tblStylePr w:type="firstRow">
      <w:rPr>
        <w:b/>
        <w:i w:val="0"/>
        <w:color w:val="FFFFFF" w:themeColor="background1"/>
        <w:sz w:val="20"/>
      </w:rPr>
      <w:tblPr/>
      <w:tcPr>
        <w:shd w:val="clear" w:color="auto" w:fill="7F7F7F" w:themeFill="text1" w:themeFillTint="80"/>
      </w:tcPr>
    </w:tblStylePr>
    <w:tblStylePr w:type="band1Horz">
      <w:rPr>
        <w:b w:val="0"/>
      </w:rPr>
    </w:tblStylePr>
  </w:style>
  <w:style w:type="table" w:customStyle="1" w:styleId="tabelaautoavaliacao">
    <w:name w:val="tabela autoavaliacao"/>
    <w:basedOn w:val="Tabelanormal"/>
    <w:uiPriority w:val="99"/>
    <w:rsid w:val="008A4841"/>
    <w:rPr>
      <w:rFonts w:eastAsiaTheme="minorEastAsia"/>
      <w:caps/>
      <w:sz w:val="20"/>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i w:val="0"/>
        <w:sz w:val="20"/>
      </w:rPr>
    </w:tblStylePr>
    <w:tblStylePr w:type="lastRow">
      <w:rPr>
        <w:sz w:val="21"/>
      </w:rPr>
    </w:tblStylePr>
  </w:style>
  <w:style w:type="table" w:styleId="Tabelacomgrade">
    <w:name w:val="Table Grid"/>
    <w:basedOn w:val="Tabelanormal"/>
    <w:uiPriority w:val="39"/>
    <w:rsid w:val="0090597E"/>
    <w:pPr>
      <w:spacing w:line="48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grade">
    <w:name w:val="tabela_grade"/>
    <w:basedOn w:val="Tabelanormal"/>
    <w:uiPriority w:val="99"/>
    <w:rsid w:val="00426CFB"/>
    <w:rPr>
      <w:rFonts w:eastAsiaTheme="minorEastAsia"/>
      <w:sz w:val="20"/>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rPr>
    </w:tblStylePr>
    <w:tblStylePr w:type="firstCol">
      <w:pPr>
        <w:jc w:val="center"/>
      </w:pPr>
      <w:rPr>
        <w:sz w:val="24"/>
      </w:rPr>
      <w:tblPr/>
      <w:tcPr>
        <w:vAlign w:val="center"/>
      </w:tcPr>
    </w:tblStylePr>
  </w:style>
  <w:style w:type="table" w:customStyle="1" w:styleId="tabelalivrossites">
    <w:name w:val="tabela livros_sites"/>
    <w:basedOn w:val="Tabelanormal"/>
    <w:uiPriority w:val="99"/>
    <w:rsid w:val="00DD7600"/>
    <w:rPr>
      <w:rFonts w:eastAsiaTheme="minorEastAsia"/>
      <w:sz w:val="21"/>
      <w:lang w:eastAsia="es-ES"/>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CD7BA"/>
      <w:vAlign w:val="center"/>
    </w:tcPr>
    <w:tblStylePr w:type="firstRow">
      <w:pPr>
        <w:wordWrap/>
        <w:jc w:val="center"/>
      </w:pPr>
      <w:rPr>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sz w:val="21"/>
      </w:rPr>
      <w:tblPr>
        <w:tblCellMar>
          <w:top w:w="170" w:type="dxa"/>
          <w:left w:w="108" w:type="dxa"/>
          <w:bottom w:w="0" w:type="dxa"/>
          <w:right w:w="108" w:type="dxa"/>
        </w:tblCellMar>
      </w:tblPr>
      <w:tcPr>
        <w:vAlign w:val="top"/>
      </w:tcPr>
    </w:tblStylePr>
  </w:style>
  <w:style w:type="table" w:styleId="TabeladeGradeClara">
    <w:name w:val="Grid Table Light"/>
    <w:basedOn w:val="Tabelanormal"/>
    <w:uiPriority w:val="40"/>
    <w:rsid w:val="001D746A"/>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elanomealuno">
    <w:name w:val="tabela_nome_aluno"/>
    <w:basedOn w:val="Tabelanormal"/>
    <w:uiPriority w:val="99"/>
    <w:rsid w:val="00746C25"/>
    <w:rPr>
      <w:b/>
      <w:sz w:val="20"/>
    </w:rPr>
    <w:tblPr/>
  </w:style>
  <w:style w:type="table" w:customStyle="1" w:styleId="tabelaavaliacao">
    <w:name w:val="tabela_avaliacao"/>
    <w:basedOn w:val="Tabelanormal"/>
    <w:uiPriority w:val="99"/>
    <w:rsid w:val="0061052E"/>
    <w:pPr>
      <w:spacing w:line="480" w:lineRule="auto"/>
    </w:pPr>
    <w:rPr>
      <w:b/>
      <w:sz w:val="20"/>
    </w:rPr>
    <w:tblPr>
      <w:tblBorders>
        <w:top w:val="single" w:sz="4" w:space="0" w:color="FF7D4E"/>
        <w:left w:val="single" w:sz="4" w:space="0" w:color="FF7D4E"/>
        <w:bottom w:val="single" w:sz="4" w:space="0" w:color="FF7D4E"/>
        <w:right w:val="single" w:sz="4" w:space="0" w:color="FF7D4E"/>
        <w:insideH w:val="single" w:sz="4" w:space="0" w:color="FF7D4E"/>
      </w:tblBorders>
    </w:tblPr>
    <w:tcPr>
      <w:shd w:val="clear" w:color="auto" w:fill="FFFFFF" w:themeFill="background1"/>
      <w:vAlign w:val="center"/>
    </w:tcPr>
  </w:style>
  <w:style w:type="table" w:customStyle="1" w:styleId="tabelaficha">
    <w:name w:val="tabela_ficha"/>
    <w:basedOn w:val="Tabelanormal"/>
    <w:uiPriority w:val="99"/>
    <w:rsid w:val="00846899"/>
    <w:rPr>
      <w:rFonts w:eastAsiaTheme="minorEastAsia"/>
      <w:sz w:val="20"/>
      <w:lang w:eastAsia="es-ES"/>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rightChars="0" w:right="0"/>
        <w:jc w:val="left"/>
      </w:pPr>
      <w:rPr>
        <w:b/>
        <w:i w:val="0"/>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8CFA6DA-27A3-47BF-A219-2083AD92C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1294</Words>
  <Characters>6991</Characters>
  <Application>Microsoft Office Word</Application>
  <DocSecurity>0</DocSecurity>
  <Lines>58</Lines>
  <Paragraphs>16</Paragraphs>
  <ScaleCrop>false</ScaleCrop>
  <Company/>
  <LinksUpToDate>false</LinksUpToDate>
  <CharactersWithSpaces>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Amelia Bueno Migliacci</dc:creator>
  <dc:description/>
  <cp:lastModifiedBy>Arleth Rodrigues de Oliveira</cp:lastModifiedBy>
  <cp:revision>15</cp:revision>
  <cp:lastPrinted>2017-10-23T20:25:00Z</cp:lastPrinted>
  <dcterms:created xsi:type="dcterms:W3CDTF">2017-11-21T15:26:00Z</dcterms:created>
  <dcterms:modified xsi:type="dcterms:W3CDTF">2017-12-16T14:41:00Z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