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36D37" w14:textId="77777777" w:rsidR="00527E86" w:rsidRDefault="00527E86" w:rsidP="00527E86">
      <w:pPr>
        <w:pStyle w:val="00cabeos"/>
      </w:pPr>
      <w:bookmarkStart w:id="0" w:name="_Hlk504134941"/>
      <w:r w:rsidRPr="00A67008">
        <w:t>Proposta de acompanhamento da aprendizagem</w:t>
      </w:r>
      <w:bookmarkEnd w:id="0"/>
    </w:p>
    <w:p w14:paraId="5CB1C31A" w14:textId="77777777" w:rsidR="00527E86" w:rsidRDefault="00527E86" w:rsidP="00527E86">
      <w:pPr>
        <w:pStyle w:val="00cabeos"/>
      </w:pPr>
    </w:p>
    <w:p w14:paraId="354E0AA5" w14:textId="2A969A7B" w:rsidR="000F0502" w:rsidRPr="00BA2236" w:rsidRDefault="00527E86" w:rsidP="00527E86">
      <w:pPr>
        <w:pStyle w:val="00cabeos"/>
      </w:pPr>
      <w:r w:rsidRPr="007E2E10">
        <w:rPr>
          <w:color w:val="000000" w:themeColor="text1"/>
        </w:rPr>
        <w:t>ficha de acompanhamento das aprendizagens</w:t>
      </w:r>
    </w:p>
    <w:p w14:paraId="0E8D097B" w14:textId="34595713" w:rsidR="0029546F" w:rsidRPr="00BA2236" w:rsidRDefault="0029546F">
      <w:pPr>
        <w:rPr>
          <w:rFonts w:ascii="Tahoma" w:eastAsiaTheme="minorEastAsia" w:hAnsi="Tahoma" w:cs="Tahoma"/>
          <w:b/>
          <w:bCs/>
          <w:sz w:val="20"/>
          <w:szCs w:val="20"/>
          <w:lang w:eastAsia="es-ES"/>
        </w:rPr>
      </w:pPr>
    </w:p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221"/>
        <w:gridCol w:w="3222"/>
        <w:gridCol w:w="1061"/>
        <w:gridCol w:w="1061"/>
        <w:gridCol w:w="1063"/>
      </w:tblGrid>
      <w:tr w:rsidR="00F4799E" w:rsidRPr="00BA2236" w14:paraId="0BFB27A9" w14:textId="77777777" w:rsidTr="00960496">
        <w:trPr>
          <w:trHeight w:val="1247"/>
        </w:trPr>
        <w:tc>
          <w:tcPr>
            <w:tcW w:w="5000" w:type="pct"/>
            <w:gridSpan w:val="5"/>
          </w:tcPr>
          <w:p w14:paraId="4D019233" w14:textId="740B6D1C" w:rsidR="00F4799E" w:rsidRPr="00BA2236" w:rsidRDefault="00F4799E" w:rsidP="00F4799E">
            <w:pPr>
              <w:pStyle w:val="00textosemparagrafo"/>
              <w:spacing w:before="300" w:after="120" w:line="240" w:lineRule="auto"/>
              <w:rPr>
                <w:rFonts w:cs="Tahoma"/>
                <w:b/>
                <w:sz w:val="20"/>
                <w:szCs w:val="20"/>
              </w:rPr>
            </w:pPr>
            <w:bookmarkStart w:id="1" w:name="_GoBack"/>
            <w:r w:rsidRPr="00BA2236">
              <w:rPr>
                <w:rFonts w:cs="Tahoma"/>
                <w:b/>
                <w:sz w:val="20"/>
                <w:szCs w:val="20"/>
              </w:rPr>
              <w:t xml:space="preserve">NOME: </w:t>
            </w:r>
            <w:r w:rsidRPr="00BA2236">
              <w:rPr>
                <w:rFonts w:cs="Tahoma"/>
                <w:sz w:val="20"/>
                <w:szCs w:val="20"/>
              </w:rPr>
              <w:t>__________________</w:t>
            </w:r>
            <w:r w:rsidR="0052180A" w:rsidRPr="00BA2236">
              <w:rPr>
                <w:rFonts w:cs="Tahoma"/>
                <w:sz w:val="20"/>
                <w:szCs w:val="20"/>
              </w:rPr>
              <w:t>______</w:t>
            </w:r>
            <w:r w:rsidRPr="00BA2236">
              <w:rPr>
                <w:rFonts w:cs="Tahoma"/>
                <w:sz w:val="20"/>
                <w:szCs w:val="20"/>
              </w:rPr>
              <w:t>___________________________________________________</w:t>
            </w:r>
          </w:p>
          <w:p w14:paraId="50529A6D" w14:textId="329A4B28" w:rsidR="00F4799E" w:rsidRPr="00BA2236" w:rsidRDefault="00F4799E" w:rsidP="00F4799E">
            <w:pPr>
              <w:spacing w:before="300" w:after="120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A2236">
              <w:rPr>
                <w:rFonts w:ascii="Tahoma" w:eastAsiaTheme="minorEastAsia" w:hAnsi="Tahoma" w:cs="Tahoma"/>
                <w:b/>
                <w:color w:val="000000"/>
                <w:sz w:val="20"/>
                <w:szCs w:val="20"/>
                <w:lang w:eastAsia="es-ES"/>
              </w:rPr>
              <w:t>TURMA</w:t>
            </w:r>
            <w:r w:rsidRPr="00BA223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  <w:r w:rsidRPr="00BA2236">
              <w:rPr>
                <w:rFonts w:ascii="Tahoma" w:eastAsiaTheme="minorEastAsia" w:hAnsi="Tahoma" w:cs="Tahoma"/>
                <w:color w:val="000000"/>
                <w:sz w:val="20"/>
                <w:szCs w:val="20"/>
                <w:lang w:eastAsia="es-ES"/>
              </w:rPr>
              <w:t>________________</w:t>
            </w:r>
            <w:r w:rsidR="0052180A" w:rsidRPr="00BA2236">
              <w:rPr>
                <w:rFonts w:ascii="Tahoma" w:eastAsiaTheme="minorEastAsia" w:hAnsi="Tahoma" w:cs="Tahoma"/>
                <w:color w:val="000000"/>
                <w:sz w:val="20"/>
                <w:szCs w:val="20"/>
                <w:lang w:eastAsia="es-ES"/>
              </w:rPr>
              <w:t>______</w:t>
            </w:r>
            <w:r w:rsidRPr="00BA2236">
              <w:rPr>
                <w:rFonts w:ascii="Tahoma" w:eastAsiaTheme="minorEastAsia" w:hAnsi="Tahoma" w:cs="Tahoma"/>
                <w:color w:val="000000"/>
                <w:sz w:val="20"/>
                <w:szCs w:val="20"/>
                <w:lang w:eastAsia="es-ES"/>
              </w:rPr>
              <w:t>_______________________</w:t>
            </w:r>
            <w:r w:rsidRPr="00BA2236">
              <w:rPr>
                <w:rFonts w:ascii="Tahoma" w:eastAsiaTheme="minorEastAsia" w:hAnsi="Tahoma" w:cs="Tahoma"/>
                <w:b/>
                <w:color w:val="000000"/>
                <w:sz w:val="20"/>
                <w:szCs w:val="20"/>
                <w:lang w:eastAsia="es-ES"/>
              </w:rPr>
              <w:t xml:space="preserve"> DATA:</w:t>
            </w:r>
            <w:r w:rsidRPr="00BA223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BA2236">
              <w:rPr>
                <w:rFonts w:ascii="Tahoma" w:hAnsi="Tahoma" w:cs="Tahoma"/>
                <w:bCs/>
                <w:sz w:val="20"/>
                <w:szCs w:val="20"/>
              </w:rPr>
              <w:t>______________________</w:t>
            </w:r>
            <w:bookmarkEnd w:id="1"/>
          </w:p>
        </w:tc>
      </w:tr>
      <w:tr w:rsidR="00F4799E" w:rsidRPr="00BA2236" w14:paraId="7EF47EC2" w14:textId="77777777" w:rsidTr="0052180A">
        <w:trPr>
          <w:trHeight w:val="397"/>
        </w:trPr>
        <w:tc>
          <w:tcPr>
            <w:tcW w:w="1673" w:type="pct"/>
            <w:vMerge w:val="restart"/>
            <w:vAlign w:val="center"/>
            <w:hideMark/>
          </w:tcPr>
          <w:p w14:paraId="3D2D2CA0" w14:textId="77777777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A2236">
              <w:rPr>
                <w:rFonts w:ascii="Tahoma" w:hAnsi="Tahoma" w:cs="Tahoma"/>
                <w:b/>
                <w:sz w:val="20"/>
                <w:szCs w:val="20"/>
              </w:rPr>
              <w:t>BNCC</w:t>
            </w:r>
          </w:p>
        </w:tc>
        <w:tc>
          <w:tcPr>
            <w:tcW w:w="1673" w:type="pct"/>
            <w:vMerge w:val="restart"/>
            <w:vAlign w:val="center"/>
            <w:hideMark/>
          </w:tcPr>
          <w:p w14:paraId="0915D2BD" w14:textId="77777777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A2236">
              <w:rPr>
                <w:rFonts w:ascii="Tahoma" w:hAnsi="Tahoma" w:cs="Tahoma"/>
                <w:b/>
                <w:bCs/>
                <w:sz w:val="20"/>
                <w:szCs w:val="20"/>
              </w:rPr>
              <w:t>Habilidade avaliada</w:t>
            </w:r>
          </w:p>
        </w:tc>
        <w:tc>
          <w:tcPr>
            <w:tcW w:w="1654" w:type="pct"/>
            <w:gridSpan w:val="3"/>
            <w:vAlign w:val="center"/>
            <w:hideMark/>
          </w:tcPr>
          <w:p w14:paraId="2542639F" w14:textId="77777777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A2236">
              <w:rPr>
                <w:rFonts w:ascii="Tahoma" w:hAnsi="Tahoma" w:cs="Tahoma"/>
                <w:b/>
                <w:sz w:val="20"/>
                <w:szCs w:val="20"/>
              </w:rPr>
              <w:t>Desempenho</w:t>
            </w:r>
          </w:p>
        </w:tc>
      </w:tr>
      <w:tr w:rsidR="00F4799E" w:rsidRPr="00BA2236" w14:paraId="4E2804A7" w14:textId="77777777" w:rsidTr="00F4799E">
        <w:trPr>
          <w:trHeight w:val="244"/>
        </w:trPr>
        <w:tc>
          <w:tcPr>
            <w:tcW w:w="1673" w:type="pct"/>
            <w:vMerge/>
            <w:vAlign w:val="center"/>
            <w:hideMark/>
          </w:tcPr>
          <w:p w14:paraId="04AFDAEE" w14:textId="77777777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73" w:type="pct"/>
            <w:vMerge/>
            <w:vAlign w:val="center"/>
            <w:hideMark/>
          </w:tcPr>
          <w:p w14:paraId="696E9913" w14:textId="77777777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51" w:type="pct"/>
            <w:vAlign w:val="center"/>
            <w:hideMark/>
          </w:tcPr>
          <w:p w14:paraId="52F36C15" w14:textId="7FDFE8FF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A2236">
              <w:rPr>
                <w:rFonts w:ascii="Tahoma" w:hAnsi="Tahoma" w:cs="Tahoma"/>
                <w:b/>
                <w:sz w:val="20"/>
                <w:szCs w:val="20"/>
              </w:rPr>
              <w:t xml:space="preserve">Sem </w:t>
            </w:r>
            <w:r w:rsidR="003E259D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Pr="00BA2236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  <w:tc>
          <w:tcPr>
            <w:tcW w:w="551" w:type="pct"/>
            <w:vAlign w:val="center"/>
            <w:hideMark/>
          </w:tcPr>
          <w:p w14:paraId="5F8636F8" w14:textId="0B828275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A2236">
              <w:rPr>
                <w:rFonts w:ascii="Tahoma" w:hAnsi="Tahoma" w:cs="Tahoma"/>
                <w:b/>
                <w:sz w:val="20"/>
                <w:szCs w:val="20"/>
              </w:rPr>
              <w:t xml:space="preserve">Domínio </w:t>
            </w:r>
            <w:r w:rsidR="003E259D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BA2236">
              <w:rPr>
                <w:rFonts w:ascii="Tahoma" w:hAnsi="Tahoma" w:cs="Tahoma"/>
                <w:b/>
                <w:sz w:val="20"/>
                <w:szCs w:val="20"/>
              </w:rPr>
              <w:t>arcial</w:t>
            </w:r>
          </w:p>
        </w:tc>
        <w:tc>
          <w:tcPr>
            <w:tcW w:w="552" w:type="pct"/>
            <w:vAlign w:val="center"/>
            <w:hideMark/>
          </w:tcPr>
          <w:p w14:paraId="3AF7C407" w14:textId="4127ED27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A2236">
              <w:rPr>
                <w:rFonts w:ascii="Tahoma" w:hAnsi="Tahoma" w:cs="Tahoma"/>
                <w:b/>
                <w:sz w:val="20"/>
                <w:szCs w:val="20"/>
              </w:rPr>
              <w:t xml:space="preserve">Com </w:t>
            </w:r>
            <w:r w:rsidR="003E259D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Pr="00BA2236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</w:tr>
      <w:tr w:rsidR="00F4799E" w:rsidRPr="00BA2236" w14:paraId="3428491E" w14:textId="77777777" w:rsidTr="00F4799E">
        <w:trPr>
          <w:trHeight w:val="20"/>
        </w:trPr>
        <w:tc>
          <w:tcPr>
            <w:tcW w:w="1673" w:type="pct"/>
            <w:vMerge w:val="restart"/>
          </w:tcPr>
          <w:p w14:paraId="704758C6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(EF04MA16) Descrever deslocamentos e localização de pessoas e de objetos no espaço, por meio de malhas quadriculadas e representações como desenhos, mapas, planta baixa e croquis, empregando termos como direita e esquerda, mudanças de direção e sentido, intersecção, transversais, paralelas e perpendiculares.</w:t>
            </w:r>
          </w:p>
        </w:tc>
        <w:tc>
          <w:tcPr>
            <w:tcW w:w="1673" w:type="pct"/>
          </w:tcPr>
          <w:p w14:paraId="7C25A986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Localizar objetos em malhas quadriculadas com indicações de linhas e colunas.</w:t>
            </w:r>
          </w:p>
        </w:tc>
        <w:tc>
          <w:tcPr>
            <w:tcW w:w="551" w:type="pct"/>
          </w:tcPr>
          <w:p w14:paraId="4BE574C9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3CBE2DA5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66E9D89F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07B99D80" w14:textId="77777777" w:rsidTr="00F4799E">
        <w:trPr>
          <w:trHeight w:val="20"/>
        </w:trPr>
        <w:tc>
          <w:tcPr>
            <w:tcW w:w="1673" w:type="pct"/>
            <w:vMerge/>
          </w:tcPr>
          <w:p w14:paraId="0889D952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2B62D4F7" w14:textId="4E8F643A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Identificar a movimentação de objeto em malha</w:t>
            </w:r>
            <w:r w:rsidR="00C66389" w:rsidRPr="00BA2236">
              <w:rPr>
                <w:rFonts w:ascii="Tahoma" w:hAnsi="Tahoma" w:cs="Tahoma"/>
                <w:sz w:val="20"/>
                <w:szCs w:val="20"/>
              </w:rPr>
              <w:t>s</w:t>
            </w:r>
            <w:r w:rsidRPr="00BA2236">
              <w:rPr>
                <w:rFonts w:ascii="Tahoma" w:hAnsi="Tahoma" w:cs="Tahoma"/>
                <w:sz w:val="20"/>
                <w:szCs w:val="20"/>
              </w:rPr>
              <w:t xml:space="preserve"> quadriculadas.</w:t>
            </w:r>
          </w:p>
        </w:tc>
        <w:tc>
          <w:tcPr>
            <w:tcW w:w="551" w:type="pct"/>
          </w:tcPr>
          <w:p w14:paraId="0990C7B9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124ABC55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5827BE3A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5EF032E9" w14:textId="77777777" w:rsidTr="00F4799E">
        <w:trPr>
          <w:trHeight w:val="20"/>
        </w:trPr>
        <w:tc>
          <w:tcPr>
            <w:tcW w:w="1673" w:type="pct"/>
            <w:vMerge w:val="restart"/>
          </w:tcPr>
          <w:p w14:paraId="76DBF696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 xml:space="preserve">(EF04MA19) Reconhecer simetria de reflexão em figuras e em pares de figuras geométricas planas e utilizá-la na construção de figuras congruentes, com o uso de malhas quadriculadas e de </w:t>
            </w:r>
            <w:r w:rsidRPr="00BA2236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softwares </w:t>
            </w:r>
            <w:r w:rsidRPr="00BA2236">
              <w:rPr>
                <w:rFonts w:ascii="Tahoma" w:hAnsi="Tahoma" w:cs="Tahoma"/>
                <w:sz w:val="20"/>
                <w:szCs w:val="20"/>
              </w:rPr>
              <w:t>de geometria.</w:t>
            </w:r>
          </w:p>
        </w:tc>
        <w:tc>
          <w:tcPr>
            <w:tcW w:w="1673" w:type="pct"/>
          </w:tcPr>
          <w:p w14:paraId="6F8FD672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>Identificar figuras que apresentam eixo de simetria.</w:t>
            </w:r>
          </w:p>
        </w:tc>
        <w:tc>
          <w:tcPr>
            <w:tcW w:w="551" w:type="pct"/>
          </w:tcPr>
          <w:p w14:paraId="7C22BA4A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5B5191DB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63556AD4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004812DC" w14:textId="77777777" w:rsidTr="00F4799E">
        <w:trPr>
          <w:trHeight w:val="20"/>
        </w:trPr>
        <w:tc>
          <w:tcPr>
            <w:tcW w:w="1673" w:type="pct"/>
            <w:vMerge/>
          </w:tcPr>
          <w:p w14:paraId="3FDE0410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434EB779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Reconhecer simetria em pares de figuras geométricas planas.</w:t>
            </w:r>
          </w:p>
        </w:tc>
        <w:tc>
          <w:tcPr>
            <w:tcW w:w="551" w:type="pct"/>
          </w:tcPr>
          <w:p w14:paraId="3DE178BF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0DE1FE6C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31EA3034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01116195" w14:textId="77777777" w:rsidTr="00F4799E">
        <w:trPr>
          <w:trHeight w:val="20"/>
        </w:trPr>
        <w:tc>
          <w:tcPr>
            <w:tcW w:w="1673" w:type="pct"/>
            <w:vMerge/>
          </w:tcPr>
          <w:p w14:paraId="68083ED6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1F5F8B6F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Reconhecer eixo de simetria em figuras geométricas planas.</w:t>
            </w:r>
          </w:p>
        </w:tc>
        <w:tc>
          <w:tcPr>
            <w:tcW w:w="551" w:type="pct"/>
          </w:tcPr>
          <w:p w14:paraId="2F74F492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34D75750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443D5C79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3A5FC34C" w14:textId="77777777" w:rsidTr="00F4799E">
        <w:trPr>
          <w:trHeight w:val="20"/>
        </w:trPr>
        <w:tc>
          <w:tcPr>
            <w:tcW w:w="1673" w:type="pct"/>
            <w:vMerge w:val="restart"/>
          </w:tcPr>
          <w:p w14:paraId="12D93985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(EF04MA20) Medir e estimar comprimentos (incluindo perímetros), massas e capacidades, utilizando unidades de medidas padronizadas mais usuais, valorizando e respeitando a cultura local.</w:t>
            </w:r>
          </w:p>
        </w:tc>
        <w:tc>
          <w:tcPr>
            <w:tcW w:w="1673" w:type="pct"/>
          </w:tcPr>
          <w:p w14:paraId="3280531F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problemas que envolvem medir massas, utilizando unidades de medidas padronizadas.</w:t>
            </w:r>
          </w:p>
        </w:tc>
        <w:tc>
          <w:tcPr>
            <w:tcW w:w="551" w:type="pct"/>
          </w:tcPr>
          <w:p w14:paraId="0001AD43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5B6088C4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216BA9DA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7F1D2344" w14:textId="77777777" w:rsidTr="00F4799E">
        <w:trPr>
          <w:trHeight w:val="20"/>
        </w:trPr>
        <w:tc>
          <w:tcPr>
            <w:tcW w:w="1673" w:type="pct"/>
            <w:vMerge/>
          </w:tcPr>
          <w:p w14:paraId="06D40FCF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color w:val="414142"/>
                <w:sz w:val="20"/>
                <w:szCs w:val="20"/>
              </w:rPr>
            </w:pPr>
          </w:p>
        </w:tc>
        <w:tc>
          <w:tcPr>
            <w:tcW w:w="1673" w:type="pct"/>
          </w:tcPr>
          <w:p w14:paraId="106F1978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problemas que envolvem medir capacidades, utilizando unidades de medidas padronizadas.</w:t>
            </w:r>
          </w:p>
        </w:tc>
        <w:tc>
          <w:tcPr>
            <w:tcW w:w="551" w:type="pct"/>
          </w:tcPr>
          <w:p w14:paraId="1130DCF3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1A990D47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7C9F1CB4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636DB533" w14:textId="77777777" w:rsidR="0052180A" w:rsidRPr="00BA2236" w:rsidRDefault="0052180A" w:rsidP="00C175FC">
      <w:pPr>
        <w:jc w:val="right"/>
        <w:rPr>
          <w:rFonts w:ascii="Tahoma" w:hAnsi="Tahoma" w:cs="Tahoma"/>
          <w:sz w:val="20"/>
          <w:szCs w:val="20"/>
        </w:rPr>
      </w:pPr>
      <w:r w:rsidRPr="00BA2236">
        <w:rPr>
          <w:rFonts w:ascii="Tahoma" w:hAnsi="Tahoma" w:cs="Tahoma"/>
          <w:sz w:val="20"/>
          <w:szCs w:val="20"/>
        </w:rPr>
        <w:t>Continua</w:t>
      </w:r>
      <w:r w:rsidRPr="00BA2236">
        <w:rPr>
          <w:rFonts w:ascii="Tahoma" w:hAnsi="Tahoma" w:cs="Tahoma"/>
          <w:sz w:val="20"/>
          <w:szCs w:val="20"/>
        </w:rPr>
        <w:br w:type="page"/>
      </w:r>
    </w:p>
    <w:p w14:paraId="02CD5147" w14:textId="77777777" w:rsidR="0052180A" w:rsidRPr="00BA2236" w:rsidRDefault="0052180A" w:rsidP="0052180A">
      <w:pPr>
        <w:rPr>
          <w:rFonts w:ascii="Tahoma" w:hAnsi="Tahoma" w:cs="Tahoma"/>
          <w:sz w:val="20"/>
          <w:szCs w:val="20"/>
        </w:rPr>
      </w:pPr>
      <w:r w:rsidRPr="00BA2236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221"/>
        <w:gridCol w:w="3222"/>
        <w:gridCol w:w="1061"/>
        <w:gridCol w:w="1061"/>
        <w:gridCol w:w="1063"/>
      </w:tblGrid>
      <w:tr w:rsidR="00F4799E" w:rsidRPr="00BA2236" w14:paraId="0B4CC6AD" w14:textId="77777777" w:rsidTr="00F4799E">
        <w:trPr>
          <w:trHeight w:val="20"/>
        </w:trPr>
        <w:tc>
          <w:tcPr>
            <w:tcW w:w="1673" w:type="pct"/>
            <w:vMerge w:val="restart"/>
          </w:tcPr>
          <w:p w14:paraId="1BDEEDE7" w14:textId="6588D2B2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(EF04MA22) Ler e registrar medidas e intervalos de tempo em horas, minutos e segundos em situações relacionadas ao seu cotidiano, como informar os horários de início e término de realização de uma tarefa e sua duração.</w:t>
            </w:r>
          </w:p>
        </w:tc>
        <w:tc>
          <w:tcPr>
            <w:tcW w:w="1673" w:type="pct"/>
          </w:tcPr>
          <w:p w14:paraId="525976AE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Identificar a duração de um evento em horas e minutos.</w:t>
            </w:r>
          </w:p>
        </w:tc>
        <w:tc>
          <w:tcPr>
            <w:tcW w:w="551" w:type="pct"/>
          </w:tcPr>
          <w:p w14:paraId="4D2AE127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010C7D3F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572D98D3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328F38D9" w14:textId="77777777" w:rsidTr="00F4799E">
        <w:trPr>
          <w:trHeight w:val="20"/>
        </w:trPr>
        <w:tc>
          <w:tcPr>
            <w:tcW w:w="1673" w:type="pct"/>
            <w:vMerge/>
          </w:tcPr>
          <w:p w14:paraId="1B6E88A2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7A7C61A6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Identificar horas e minutos em relógios analógicos e digitais.</w:t>
            </w:r>
          </w:p>
        </w:tc>
        <w:tc>
          <w:tcPr>
            <w:tcW w:w="551" w:type="pct"/>
          </w:tcPr>
          <w:p w14:paraId="10BB235B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76480BE2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44FCD549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506C2008" w14:textId="77777777" w:rsidTr="00F4799E">
        <w:trPr>
          <w:trHeight w:val="20"/>
        </w:trPr>
        <w:tc>
          <w:tcPr>
            <w:tcW w:w="1673" w:type="pct"/>
            <w:vMerge/>
          </w:tcPr>
          <w:p w14:paraId="3B84A2D1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6A66F86D" w14:textId="77777777" w:rsidR="00F4799E" w:rsidRPr="00BA2236" w:rsidRDefault="00F4799E" w:rsidP="00F4799E">
            <w:pPr>
              <w:spacing w:before="60" w:after="6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 e interpretar a duração de uma atividade a partir da indicação de tempo de início e de fim.</w:t>
            </w:r>
          </w:p>
        </w:tc>
        <w:tc>
          <w:tcPr>
            <w:tcW w:w="551" w:type="pct"/>
          </w:tcPr>
          <w:p w14:paraId="0B5558E6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64402739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0C2DB457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120CB102" w14:textId="77777777" w:rsidTr="00F4799E">
        <w:trPr>
          <w:trHeight w:val="20"/>
        </w:trPr>
        <w:tc>
          <w:tcPr>
            <w:tcW w:w="1673" w:type="pct"/>
            <w:vMerge w:val="restart"/>
          </w:tcPr>
          <w:p w14:paraId="5F15B61C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(EF04MA27) Analisar dados apresentados em tabelas simples ou de dupla entrada e em gráficos de colunas ou pictóricos, com base em informações das diferentes áreas do conhecimento, e produzir texto com a síntese de sua análise.</w:t>
            </w:r>
          </w:p>
        </w:tc>
        <w:tc>
          <w:tcPr>
            <w:tcW w:w="1673" w:type="pct"/>
          </w:tcPr>
          <w:p w14:paraId="5EF83CE4" w14:textId="0DC4FD33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</w:t>
            </w:r>
            <w:r w:rsidR="003428DC"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e</w:t>
            </w: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interpretar dados apresentados em pictogramas.</w:t>
            </w:r>
          </w:p>
        </w:tc>
        <w:tc>
          <w:tcPr>
            <w:tcW w:w="551" w:type="pct"/>
          </w:tcPr>
          <w:p w14:paraId="7444E62B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123EFCAE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157058D5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46F7136E" w14:textId="77777777" w:rsidTr="00F4799E">
        <w:trPr>
          <w:trHeight w:val="20"/>
        </w:trPr>
        <w:tc>
          <w:tcPr>
            <w:tcW w:w="1673" w:type="pct"/>
            <w:vMerge/>
          </w:tcPr>
          <w:p w14:paraId="0BEF5419" w14:textId="77777777" w:rsidR="00F4799E" w:rsidRPr="00BA2236" w:rsidRDefault="00F4799E" w:rsidP="00F4799E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color w:val="414142"/>
                <w:sz w:val="20"/>
                <w:szCs w:val="20"/>
              </w:rPr>
            </w:pPr>
          </w:p>
        </w:tc>
        <w:tc>
          <w:tcPr>
            <w:tcW w:w="1673" w:type="pct"/>
          </w:tcPr>
          <w:p w14:paraId="777A09A9" w14:textId="787C2F4D" w:rsidR="00F4799E" w:rsidRPr="00BA2236" w:rsidRDefault="00F4799E" w:rsidP="00F479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</w:t>
            </w:r>
            <w:r w:rsidR="003428DC"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e</w:t>
            </w:r>
            <w:r w:rsidRPr="00BA2236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interpretar dados apresentados em gráfico de barras duplas.</w:t>
            </w:r>
          </w:p>
        </w:tc>
        <w:tc>
          <w:tcPr>
            <w:tcW w:w="551" w:type="pct"/>
          </w:tcPr>
          <w:p w14:paraId="1FD19CA5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47733058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291287F9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4799E" w:rsidRPr="00BA2236" w14:paraId="4C75FAA7" w14:textId="77777777" w:rsidTr="00F4799E">
        <w:trPr>
          <w:trHeight w:val="20"/>
        </w:trPr>
        <w:tc>
          <w:tcPr>
            <w:tcW w:w="3345" w:type="pct"/>
            <w:gridSpan w:val="2"/>
          </w:tcPr>
          <w:p w14:paraId="0FB130BD" w14:textId="4C4A5844" w:rsidR="00F4799E" w:rsidRPr="00BA2236" w:rsidRDefault="00F4799E" w:rsidP="00F4799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A2236">
              <w:rPr>
                <w:rFonts w:ascii="Tahoma" w:hAnsi="Tahoma" w:cs="Tahoma"/>
                <w:b/>
                <w:bCs/>
                <w:sz w:val="20"/>
                <w:szCs w:val="20"/>
              </w:rPr>
              <w:t>Nota/</w:t>
            </w:r>
            <w:r w:rsidR="00F258DD"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  <w:r w:rsidRPr="00BA2236">
              <w:rPr>
                <w:rFonts w:ascii="Tahoma" w:hAnsi="Tahoma" w:cs="Tahoma"/>
                <w:b/>
                <w:bCs/>
                <w:sz w:val="20"/>
                <w:szCs w:val="20"/>
              </w:rPr>
              <w:t>onceito</w:t>
            </w:r>
          </w:p>
        </w:tc>
        <w:tc>
          <w:tcPr>
            <w:tcW w:w="551" w:type="pct"/>
          </w:tcPr>
          <w:p w14:paraId="1BA78AF8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1" w:type="pct"/>
          </w:tcPr>
          <w:p w14:paraId="058B0A70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52" w:type="pct"/>
          </w:tcPr>
          <w:p w14:paraId="421C22F5" w14:textId="77777777" w:rsidR="00F4799E" w:rsidRPr="00BA2236" w:rsidRDefault="00F4799E" w:rsidP="00F4799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83725BC" w14:textId="77777777" w:rsidR="000F0502" w:rsidRPr="00BA2236" w:rsidRDefault="000F0502" w:rsidP="000F0502"/>
    <w:sectPr w:rsidR="000F0502" w:rsidRPr="00BA2236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8E454" w14:textId="77777777" w:rsidR="00D4251D" w:rsidRDefault="00D4251D" w:rsidP="00713DA3">
      <w:pPr>
        <w:spacing w:after="0"/>
      </w:pPr>
      <w:r>
        <w:separator/>
      </w:r>
    </w:p>
  </w:endnote>
  <w:endnote w:type="continuationSeparator" w:id="0">
    <w:p w14:paraId="165E48CE" w14:textId="77777777" w:rsidR="00D4251D" w:rsidRDefault="00D4251D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1A89FEE-BF2D-4B43-81C3-507A0E34C3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FA0F394-E1BB-47B5-A680-0F1C8685E476}"/>
    <w:embedBold r:id="rId3" w:fontKey="{31DB3B15-14AE-4F9D-9AC8-32AA8D190F52}"/>
    <w:embedItalic r:id="rId4" w:fontKey="{6E8C2419-B9EC-4F43-9B49-CA6DC1BB43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48B00E0-F3DA-4484-9C2E-1E3854C9281B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01A182DF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60496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52180A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81EDE" w14:textId="77777777" w:rsidR="00D4251D" w:rsidRDefault="00D4251D" w:rsidP="00713DA3">
      <w:pPr>
        <w:spacing w:after="0"/>
      </w:pPr>
      <w:r>
        <w:separator/>
      </w:r>
    </w:p>
  </w:footnote>
  <w:footnote w:type="continuationSeparator" w:id="0">
    <w:p w14:paraId="2AD9E1E0" w14:textId="77777777" w:rsidR="00D4251D" w:rsidRDefault="00D4251D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7A86D739" w:rsidR="008421B1" w:rsidRDefault="001058C8" w:rsidP="008744CE">
    <w:pPr>
      <w:pStyle w:val="Cabealho"/>
    </w:pPr>
    <w:r>
      <w:rPr>
        <w:noProof/>
        <w:lang w:eastAsia="pt-BR"/>
      </w:rPr>
      <w:drawing>
        <wp:inline distT="0" distB="0" distL="0" distR="0" wp14:anchorId="21FB8FBC" wp14:editId="4AC5D3AC">
          <wp:extent cx="5940000" cy="296383"/>
          <wp:effectExtent l="0" t="0" r="0" b="8890"/>
          <wp:docPr id="6" name="Imagem 6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58C8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06DF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12A4F"/>
    <w:rsid w:val="003233D1"/>
    <w:rsid w:val="00325993"/>
    <w:rsid w:val="003324CF"/>
    <w:rsid w:val="00334C50"/>
    <w:rsid w:val="00335F44"/>
    <w:rsid w:val="00340A9C"/>
    <w:rsid w:val="003428DC"/>
    <w:rsid w:val="00342EF3"/>
    <w:rsid w:val="003540BB"/>
    <w:rsid w:val="003617BC"/>
    <w:rsid w:val="00364CFF"/>
    <w:rsid w:val="00365792"/>
    <w:rsid w:val="003676BD"/>
    <w:rsid w:val="00374679"/>
    <w:rsid w:val="003811C8"/>
    <w:rsid w:val="00382139"/>
    <w:rsid w:val="00383034"/>
    <w:rsid w:val="00383F98"/>
    <w:rsid w:val="0039371B"/>
    <w:rsid w:val="003A1FDB"/>
    <w:rsid w:val="003A6E63"/>
    <w:rsid w:val="003B067A"/>
    <w:rsid w:val="003B2FA6"/>
    <w:rsid w:val="003B3E10"/>
    <w:rsid w:val="003B5A30"/>
    <w:rsid w:val="003C7260"/>
    <w:rsid w:val="003D007A"/>
    <w:rsid w:val="003D08FB"/>
    <w:rsid w:val="003D1EB0"/>
    <w:rsid w:val="003E259D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1999"/>
    <w:rsid w:val="004F2880"/>
    <w:rsid w:val="00511864"/>
    <w:rsid w:val="00512225"/>
    <w:rsid w:val="0051369F"/>
    <w:rsid w:val="00516F62"/>
    <w:rsid w:val="0052180A"/>
    <w:rsid w:val="00527E86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25562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19F1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C94"/>
    <w:rsid w:val="007A4799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264C3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05C7"/>
    <w:rsid w:val="009149A8"/>
    <w:rsid w:val="009203ED"/>
    <w:rsid w:val="0092419E"/>
    <w:rsid w:val="009474BF"/>
    <w:rsid w:val="009476B9"/>
    <w:rsid w:val="00950DC1"/>
    <w:rsid w:val="00955C0F"/>
    <w:rsid w:val="00960496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956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2236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66389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E5C"/>
    <w:rsid w:val="00CB5D48"/>
    <w:rsid w:val="00CC096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251D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47BA6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2004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258DD"/>
    <w:rsid w:val="00F301AA"/>
    <w:rsid w:val="00F310A2"/>
    <w:rsid w:val="00F36FCD"/>
    <w:rsid w:val="00F4799E"/>
    <w:rsid w:val="00F507CC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52180A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table" w:customStyle="1" w:styleId="Estilo1">
    <w:name w:val="Estilo1"/>
    <w:basedOn w:val="Tabelanormal"/>
    <w:uiPriority w:val="99"/>
    <w:rsid w:val="00CC0968"/>
    <w:pPr>
      <w:spacing w:after="0"/>
    </w:pPr>
    <w:rPr>
      <w:rFonts w:ascii="Tahoma" w:hAnsi="Tahoma"/>
      <w:sz w:val="20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A4F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A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EA4B8-2D6B-4B6A-A3E7-57245B5A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376</Words>
  <Characters>2035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6</cp:revision>
  <cp:lastPrinted>2017-10-17T11:21:00Z</cp:lastPrinted>
  <dcterms:created xsi:type="dcterms:W3CDTF">2018-01-23T12:13:00Z</dcterms:created>
  <dcterms:modified xsi:type="dcterms:W3CDTF">2018-01-24T19:56:00Z</dcterms:modified>
</cp:coreProperties>
</file>