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928A9" w14:textId="265ED0D1" w:rsidR="0029529F" w:rsidRDefault="0029529F" w:rsidP="0029529F">
      <w:pPr>
        <w:pStyle w:val="00P1"/>
      </w:pPr>
      <w:bookmarkStart w:id="0" w:name="_GoBack"/>
      <w:bookmarkEnd w:id="0"/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 xml:space="preserve">– </w:t>
      </w:r>
      <w:r w:rsidR="006629A6">
        <w:t>4</w:t>
      </w:r>
      <w:r w:rsidR="009B6878" w:rsidRPr="009B6878">
        <w:rPr>
          <w:sz w:val="24"/>
          <w:szCs w:val="24"/>
          <w:u w:val="single"/>
          <w:vertAlign w:val="superscript"/>
        </w:rPr>
        <w:t>o</w:t>
      </w:r>
      <w:r w:rsidRPr="008E5465">
        <w:t xml:space="preserve"> </w:t>
      </w:r>
      <w:r w:rsidRPr="008E5465">
        <w:rPr>
          <w:caps w:val="0"/>
        </w:rPr>
        <w:t>bimestre</w:t>
      </w:r>
    </w:p>
    <w:p w14:paraId="3A8671ED" w14:textId="77777777" w:rsidR="006629A6" w:rsidRDefault="006629A6" w:rsidP="00223F60">
      <w:pPr>
        <w:pStyle w:val="00textosemparagrafo"/>
        <w:spacing w:after="120"/>
      </w:pP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20"/>
        <w:gridCol w:w="4807"/>
        <w:gridCol w:w="1218"/>
        <w:gridCol w:w="1857"/>
        <w:gridCol w:w="1220"/>
      </w:tblGrid>
      <w:tr w:rsidR="006629A6" w:rsidRPr="006629A6" w14:paraId="793E5491" w14:textId="77777777" w:rsidTr="006629A6">
        <w:tc>
          <w:tcPr>
            <w:tcW w:w="5000" w:type="pct"/>
            <w:gridSpan w:val="5"/>
            <w:vAlign w:val="center"/>
          </w:tcPr>
          <w:p w14:paraId="1A5E3DBE" w14:textId="319B17B0" w:rsidR="006629A6" w:rsidRPr="00223F60" w:rsidRDefault="006629A6" w:rsidP="006629A6">
            <w:pPr>
              <w:spacing w:before="320" w:after="100"/>
              <w:rPr>
                <w:rFonts w:ascii="Tahoma" w:hAnsi="Tahoma" w:cs="Tahoma"/>
                <w:sz w:val="20"/>
                <w:szCs w:val="20"/>
              </w:rPr>
            </w:pPr>
            <w:r w:rsidRPr="00223F60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Pr="00223F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6629A6">
              <w:rPr>
                <w:rFonts w:ascii="Tahoma" w:hAnsi="Tahoma" w:cs="Tahoma"/>
                <w:sz w:val="20"/>
                <w:szCs w:val="20"/>
              </w:rPr>
              <w:t>_______________________________________________________</w:t>
            </w:r>
            <w:r w:rsidR="00E87AC0">
              <w:rPr>
                <w:rFonts w:ascii="Tahoma" w:hAnsi="Tahoma" w:cs="Tahoma"/>
                <w:sz w:val="20"/>
                <w:szCs w:val="20"/>
              </w:rPr>
              <w:t>__________</w:t>
            </w:r>
            <w:r w:rsidRPr="006629A6">
              <w:rPr>
                <w:rFonts w:ascii="Tahoma" w:hAnsi="Tahoma" w:cs="Tahoma"/>
                <w:sz w:val="20"/>
                <w:szCs w:val="20"/>
              </w:rPr>
              <w:t>_____________</w:t>
            </w:r>
          </w:p>
          <w:p w14:paraId="5D03E393" w14:textId="25E88917" w:rsidR="006629A6" w:rsidRPr="006629A6" w:rsidRDefault="006629A6" w:rsidP="006629A6">
            <w:pPr>
              <w:spacing w:before="320" w:after="100"/>
              <w:rPr>
                <w:rFonts w:ascii="Tahoma" w:hAnsi="Tahoma" w:cs="Tahoma"/>
                <w:sz w:val="20"/>
                <w:szCs w:val="20"/>
              </w:rPr>
            </w:pPr>
            <w:r w:rsidRPr="00223F60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Pr="00223F60"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______________________________________________________________</w:t>
            </w:r>
            <w:r w:rsidR="00E87AC0">
              <w:rPr>
                <w:rFonts w:ascii="Tahoma" w:hAnsi="Tahoma" w:cs="Tahoma"/>
                <w:sz w:val="20"/>
                <w:szCs w:val="20"/>
              </w:rPr>
              <w:t>__________</w:t>
            </w:r>
            <w:r w:rsidRPr="00223F60">
              <w:rPr>
                <w:rFonts w:ascii="Tahoma" w:hAnsi="Tahoma" w:cs="Tahoma"/>
                <w:sz w:val="20"/>
                <w:szCs w:val="20"/>
              </w:rPr>
              <w:t>______</w:t>
            </w:r>
          </w:p>
        </w:tc>
      </w:tr>
      <w:tr w:rsidR="006629A6" w:rsidRPr="006629A6" w14:paraId="627CF5F8" w14:textId="77777777" w:rsidTr="006629A6">
        <w:trPr>
          <w:trHeight w:val="616"/>
        </w:trPr>
        <w:tc>
          <w:tcPr>
            <w:tcW w:w="270" w:type="pct"/>
            <w:vAlign w:val="center"/>
          </w:tcPr>
          <w:p w14:paraId="673F3A88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7FB556FB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29A6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33" w:type="pct"/>
            <w:vAlign w:val="center"/>
          </w:tcPr>
          <w:p w14:paraId="6AD6EABE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29A6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965" w:type="pct"/>
            <w:vAlign w:val="center"/>
          </w:tcPr>
          <w:p w14:paraId="51F87C20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29A6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34" w:type="pct"/>
            <w:vAlign w:val="center"/>
          </w:tcPr>
          <w:p w14:paraId="44BEB044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29A6">
              <w:rPr>
                <w:rFonts w:ascii="Tahoma" w:hAnsi="Tahoma" w:cs="Tahoma"/>
                <w:b/>
                <w:sz w:val="20"/>
                <w:szCs w:val="20"/>
              </w:rPr>
              <w:t>Conhece pouco</w:t>
            </w:r>
          </w:p>
        </w:tc>
      </w:tr>
      <w:tr w:rsidR="006629A6" w:rsidRPr="006629A6" w14:paraId="25456B80" w14:textId="77777777" w:rsidTr="006629A6">
        <w:tc>
          <w:tcPr>
            <w:tcW w:w="270" w:type="pct"/>
            <w:vMerge w:val="restart"/>
            <w:textDirection w:val="btLr"/>
            <w:vAlign w:val="center"/>
          </w:tcPr>
          <w:p w14:paraId="4CDBA7AE" w14:textId="6F83A21D" w:rsidR="006629A6" w:rsidRPr="006629A6" w:rsidRDefault="006629A6" w:rsidP="006629A6">
            <w:pPr>
              <w:ind w:left="113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b/>
                <w:sz w:val="20"/>
                <w:szCs w:val="20"/>
              </w:rPr>
              <w:t>Unidade 9</w:t>
            </w:r>
          </w:p>
        </w:tc>
        <w:tc>
          <w:tcPr>
            <w:tcW w:w="2498" w:type="pct"/>
            <w:vAlign w:val="center"/>
          </w:tcPr>
          <w:p w14:paraId="21BC9BF3" w14:textId="440221AE" w:rsidR="006629A6" w:rsidRPr="006629A6" w:rsidRDefault="006629A6" w:rsidP="00E87AC0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1. Compreender a ordem dos décimos, centésimos e milésimos do nosso sistema de numeração.</w:t>
            </w:r>
          </w:p>
        </w:tc>
        <w:tc>
          <w:tcPr>
            <w:tcW w:w="633" w:type="pct"/>
            <w:vAlign w:val="center"/>
          </w:tcPr>
          <w:p w14:paraId="5BB775AB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82A0A66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6FDDA665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0F76F6CE" w14:textId="77777777" w:rsidTr="006629A6">
        <w:tc>
          <w:tcPr>
            <w:tcW w:w="270" w:type="pct"/>
            <w:vMerge/>
            <w:vAlign w:val="center"/>
          </w:tcPr>
          <w:p w14:paraId="7339DC3F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0DC3596C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2. Reconhecer quando números na forma decimal são equivalentes.</w:t>
            </w:r>
          </w:p>
        </w:tc>
        <w:tc>
          <w:tcPr>
            <w:tcW w:w="633" w:type="pct"/>
            <w:vAlign w:val="center"/>
          </w:tcPr>
          <w:p w14:paraId="1A4A3384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BA71A08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449E7EE5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5EF347CF" w14:textId="77777777" w:rsidTr="006629A6">
        <w:tc>
          <w:tcPr>
            <w:tcW w:w="270" w:type="pct"/>
            <w:vMerge/>
            <w:vAlign w:val="center"/>
          </w:tcPr>
          <w:p w14:paraId="61E6E79E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72508DBC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3. Comparar números na forma decimal.</w:t>
            </w:r>
          </w:p>
        </w:tc>
        <w:tc>
          <w:tcPr>
            <w:tcW w:w="633" w:type="pct"/>
            <w:vAlign w:val="center"/>
          </w:tcPr>
          <w:p w14:paraId="175A505F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7ECA15B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29AFF914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56438BE8" w14:textId="77777777" w:rsidTr="006629A6">
        <w:tc>
          <w:tcPr>
            <w:tcW w:w="270" w:type="pct"/>
            <w:vMerge/>
            <w:vAlign w:val="center"/>
          </w:tcPr>
          <w:p w14:paraId="3616BE58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21911042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4. Adicionar e subtrair números na forma decimal por meio do algoritmo usual.</w:t>
            </w:r>
          </w:p>
        </w:tc>
        <w:tc>
          <w:tcPr>
            <w:tcW w:w="633" w:type="pct"/>
            <w:vAlign w:val="center"/>
          </w:tcPr>
          <w:p w14:paraId="55298918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357D44BF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21C323DD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1D8CA9FB" w14:textId="77777777" w:rsidTr="006629A6">
        <w:tc>
          <w:tcPr>
            <w:tcW w:w="270" w:type="pct"/>
            <w:vMerge/>
            <w:vAlign w:val="center"/>
          </w:tcPr>
          <w:p w14:paraId="785B2D14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5CDD446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5. Multiplicar um número natural por um número na forma decimal por meio de diferentes estratégias.</w:t>
            </w:r>
          </w:p>
        </w:tc>
        <w:tc>
          <w:tcPr>
            <w:tcW w:w="633" w:type="pct"/>
            <w:vAlign w:val="center"/>
          </w:tcPr>
          <w:p w14:paraId="2F956800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11C3A045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8E8297F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77C11AE2" w14:textId="77777777" w:rsidTr="006629A6">
        <w:tc>
          <w:tcPr>
            <w:tcW w:w="270" w:type="pct"/>
            <w:vMerge/>
            <w:vAlign w:val="center"/>
          </w:tcPr>
          <w:p w14:paraId="3861C88B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1A57457B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6. Multiplicar números na forma decimal por 10, 100 ou 1 000 e observar as regularidades que essas multiplicações apresentam.</w:t>
            </w:r>
          </w:p>
        </w:tc>
        <w:tc>
          <w:tcPr>
            <w:tcW w:w="633" w:type="pct"/>
            <w:vAlign w:val="center"/>
          </w:tcPr>
          <w:p w14:paraId="21113004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B6BC300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60249DA8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60FBD2F7" w14:textId="77777777" w:rsidTr="006629A6">
        <w:tc>
          <w:tcPr>
            <w:tcW w:w="270" w:type="pct"/>
            <w:vMerge/>
            <w:vAlign w:val="center"/>
          </w:tcPr>
          <w:p w14:paraId="46313CAC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69F173F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7. Dividir um número na forma decimal por um número natural por meio de diferentes estratégias.</w:t>
            </w:r>
          </w:p>
        </w:tc>
        <w:tc>
          <w:tcPr>
            <w:tcW w:w="633" w:type="pct"/>
            <w:vAlign w:val="center"/>
          </w:tcPr>
          <w:p w14:paraId="6EFAB0A1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25711E4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015625FC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006C3CC3" w14:textId="77777777" w:rsidTr="006629A6">
        <w:tc>
          <w:tcPr>
            <w:tcW w:w="270" w:type="pct"/>
            <w:vMerge/>
            <w:vAlign w:val="center"/>
          </w:tcPr>
          <w:p w14:paraId="37D94432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2519F7C6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8. Dividir números na forma decimal por 10, 100 ou 1 000 e observar as regularidades que essas divisões apresentam.</w:t>
            </w:r>
          </w:p>
        </w:tc>
        <w:tc>
          <w:tcPr>
            <w:tcW w:w="633" w:type="pct"/>
            <w:vAlign w:val="center"/>
          </w:tcPr>
          <w:p w14:paraId="704336F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5DA0082E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F66A8F2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437F" w:rsidRPr="006629A6" w14:paraId="00D2D4A4" w14:textId="77777777" w:rsidTr="006629A6">
        <w:tc>
          <w:tcPr>
            <w:tcW w:w="270" w:type="pct"/>
            <w:vMerge/>
            <w:vAlign w:val="center"/>
          </w:tcPr>
          <w:p w14:paraId="73733C66" w14:textId="77777777" w:rsidR="005E437F" w:rsidRPr="006629A6" w:rsidRDefault="005E437F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26E0FA0F" w14:textId="3D5C3ED6" w:rsidR="005E437F" w:rsidRPr="006629A6" w:rsidRDefault="005E437F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9. Calcular porcentagens.</w:t>
            </w:r>
          </w:p>
        </w:tc>
        <w:tc>
          <w:tcPr>
            <w:tcW w:w="633" w:type="pct"/>
            <w:vAlign w:val="center"/>
          </w:tcPr>
          <w:p w14:paraId="1FE5E599" w14:textId="77777777" w:rsidR="005E437F" w:rsidRPr="006629A6" w:rsidRDefault="005E437F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51A5D162" w14:textId="77777777" w:rsidR="005E437F" w:rsidRPr="006629A6" w:rsidRDefault="005E437F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615E7C49" w14:textId="77777777" w:rsidR="005E437F" w:rsidRPr="006629A6" w:rsidRDefault="005E437F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10D5C669" w14:textId="77777777" w:rsidTr="006629A6">
        <w:tc>
          <w:tcPr>
            <w:tcW w:w="270" w:type="pct"/>
            <w:vMerge/>
            <w:vAlign w:val="center"/>
          </w:tcPr>
          <w:p w14:paraId="5363A715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310DAAD8" w14:textId="7DDF44DB" w:rsidR="006629A6" w:rsidRPr="006629A6" w:rsidRDefault="005E437F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6629A6" w:rsidRPr="006629A6">
              <w:rPr>
                <w:rFonts w:ascii="Tahoma" w:hAnsi="Tahoma" w:cs="Tahoma"/>
                <w:sz w:val="20"/>
                <w:szCs w:val="20"/>
              </w:rPr>
              <w:t>.</w:t>
            </w:r>
            <w:r w:rsidR="00D4489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629A6" w:rsidRPr="006629A6">
              <w:rPr>
                <w:rFonts w:ascii="Tahoma" w:hAnsi="Tahoma" w:cs="Tahoma"/>
                <w:sz w:val="20"/>
                <w:szCs w:val="20"/>
              </w:rPr>
              <w:t>Compreender o conceito de probabilidade de determinado evento ocorrer.</w:t>
            </w:r>
          </w:p>
        </w:tc>
        <w:tc>
          <w:tcPr>
            <w:tcW w:w="633" w:type="pct"/>
            <w:vAlign w:val="center"/>
          </w:tcPr>
          <w:p w14:paraId="745FFA15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109DAC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21A2A4F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5F0226A3" w14:textId="77777777" w:rsidTr="006629A6">
        <w:tc>
          <w:tcPr>
            <w:tcW w:w="270" w:type="pct"/>
            <w:vMerge/>
            <w:vAlign w:val="center"/>
          </w:tcPr>
          <w:p w14:paraId="742955FA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70D43B9F" w14:textId="79618948" w:rsidR="006629A6" w:rsidRPr="006629A6" w:rsidRDefault="005E437F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629A6" w:rsidRPr="006629A6">
              <w:rPr>
                <w:rFonts w:ascii="Tahoma" w:hAnsi="Tahoma" w:cs="Tahoma"/>
                <w:sz w:val="20"/>
                <w:szCs w:val="20"/>
              </w:rPr>
              <w:t>. Calcular a probabilidade de determinado evento ocorrer.</w:t>
            </w:r>
          </w:p>
        </w:tc>
        <w:tc>
          <w:tcPr>
            <w:tcW w:w="633" w:type="pct"/>
            <w:vAlign w:val="center"/>
          </w:tcPr>
          <w:p w14:paraId="190040DE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39C55319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6211C6BD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537D87F8" w14:textId="77777777" w:rsidTr="006629A6">
        <w:tc>
          <w:tcPr>
            <w:tcW w:w="270" w:type="pct"/>
            <w:vMerge/>
            <w:vAlign w:val="center"/>
          </w:tcPr>
          <w:p w14:paraId="70911D38" w14:textId="77777777" w:rsidR="006629A6" w:rsidRPr="006629A6" w:rsidRDefault="006629A6" w:rsidP="006629A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0A1ADDAA" w14:textId="2DDC7596" w:rsidR="006629A6" w:rsidRPr="006629A6" w:rsidRDefault="005E437F" w:rsidP="006629A6">
            <w:pPr>
              <w:tabs>
                <w:tab w:val="left" w:pos="1095"/>
              </w:tabs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6629A6" w:rsidRPr="006629A6">
              <w:rPr>
                <w:rFonts w:ascii="Tahoma" w:hAnsi="Tahoma" w:cs="Tahoma"/>
                <w:sz w:val="20"/>
                <w:szCs w:val="20"/>
              </w:rPr>
              <w:t>. Favorecer o desenvolvimento das seguintes habilidades apresentadas na BNCC (3ª versão): EF05MA02, EF05MA05, EF05MA07, EF05MA08, EF05MA23.</w:t>
            </w:r>
          </w:p>
        </w:tc>
        <w:tc>
          <w:tcPr>
            <w:tcW w:w="633" w:type="pct"/>
            <w:vAlign w:val="center"/>
          </w:tcPr>
          <w:p w14:paraId="43B68106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4B809AD8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FC13E3E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B37B786" w14:textId="77777777" w:rsidR="006629A6" w:rsidRDefault="006629A6" w:rsidP="006629A6">
      <w:pPr>
        <w:pStyle w:val="00textosemparagrafo"/>
        <w:spacing w:before="120"/>
        <w:jc w:val="right"/>
      </w:pPr>
      <w:r>
        <w:t>(continua)</w:t>
      </w:r>
    </w:p>
    <w:p w14:paraId="038886AB" w14:textId="77777777" w:rsidR="006629A6" w:rsidRDefault="006629A6" w:rsidP="006629A6">
      <w:r>
        <w:br w:type="page"/>
      </w:r>
    </w:p>
    <w:p w14:paraId="27A312AF" w14:textId="77777777" w:rsidR="006629A6" w:rsidRDefault="006629A6" w:rsidP="006629A6">
      <w:pPr>
        <w:pStyle w:val="00textosemparagrafo"/>
        <w:spacing w:after="120"/>
      </w:pPr>
      <w:r>
        <w:lastRenderedPageBreak/>
        <w:t>(continuação)</w:t>
      </w: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20"/>
        <w:gridCol w:w="4807"/>
        <w:gridCol w:w="1218"/>
        <w:gridCol w:w="1857"/>
        <w:gridCol w:w="1220"/>
      </w:tblGrid>
      <w:tr w:rsidR="006629A6" w:rsidRPr="006629A6" w14:paraId="5DA0BFEF" w14:textId="77777777" w:rsidTr="006629A6">
        <w:tc>
          <w:tcPr>
            <w:tcW w:w="270" w:type="pct"/>
            <w:vMerge w:val="restart"/>
            <w:textDirection w:val="btLr"/>
            <w:vAlign w:val="center"/>
          </w:tcPr>
          <w:p w14:paraId="11D61ED2" w14:textId="292F8C38" w:rsidR="006629A6" w:rsidRPr="006629A6" w:rsidRDefault="006629A6" w:rsidP="006629A6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29A6">
              <w:rPr>
                <w:rFonts w:ascii="Tahoma" w:hAnsi="Tahoma" w:cs="Tahoma"/>
                <w:b/>
                <w:sz w:val="20"/>
                <w:szCs w:val="20"/>
              </w:rPr>
              <w:t>Unidade 10</w:t>
            </w:r>
          </w:p>
        </w:tc>
        <w:tc>
          <w:tcPr>
            <w:tcW w:w="2498" w:type="pct"/>
            <w:vAlign w:val="center"/>
          </w:tcPr>
          <w:p w14:paraId="5E691D14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1. Compreender a ideia de área.</w:t>
            </w:r>
          </w:p>
        </w:tc>
        <w:tc>
          <w:tcPr>
            <w:tcW w:w="633" w:type="pct"/>
            <w:vAlign w:val="center"/>
          </w:tcPr>
          <w:p w14:paraId="018D6A5A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935A942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0AAB030D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701C6407" w14:textId="77777777" w:rsidTr="006629A6">
        <w:tc>
          <w:tcPr>
            <w:tcW w:w="270" w:type="pct"/>
            <w:vMerge/>
            <w:vAlign w:val="center"/>
          </w:tcPr>
          <w:p w14:paraId="7AF00A7A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65CED9F6" w14:textId="10C07669" w:rsidR="006629A6" w:rsidRPr="006629A6" w:rsidRDefault="006629A6" w:rsidP="00E87AC0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2. Reconhecer e utilizar diferentes unidades de medida de superfície: centímetro quadrado, metro quadrado e quilômetro quadrado.</w:t>
            </w:r>
          </w:p>
        </w:tc>
        <w:tc>
          <w:tcPr>
            <w:tcW w:w="633" w:type="pct"/>
            <w:vAlign w:val="center"/>
          </w:tcPr>
          <w:p w14:paraId="4B8CA515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6DA5F3FD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28E1731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7C2A106A" w14:textId="77777777" w:rsidTr="006629A6">
        <w:tc>
          <w:tcPr>
            <w:tcW w:w="270" w:type="pct"/>
            <w:vMerge/>
            <w:vAlign w:val="center"/>
          </w:tcPr>
          <w:p w14:paraId="0C364759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195BDCE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3. Ampliar e reduzir figuras, observando a proporcionalidade.</w:t>
            </w:r>
          </w:p>
        </w:tc>
        <w:tc>
          <w:tcPr>
            <w:tcW w:w="633" w:type="pct"/>
            <w:vAlign w:val="center"/>
          </w:tcPr>
          <w:p w14:paraId="74364CE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6231229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208F19F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20DC71E6" w14:textId="77777777" w:rsidTr="006629A6">
        <w:tc>
          <w:tcPr>
            <w:tcW w:w="270" w:type="pct"/>
            <w:vMerge/>
            <w:vAlign w:val="center"/>
          </w:tcPr>
          <w:p w14:paraId="74C4A06D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364B616C" w14:textId="28B40A63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4. Compreender a ideia de volume</w:t>
            </w:r>
            <w:r w:rsidR="00D4489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633" w:type="pct"/>
            <w:vAlign w:val="center"/>
          </w:tcPr>
          <w:p w14:paraId="04E52E66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6731C170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AD6E35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3C6D6DCD" w14:textId="77777777" w:rsidTr="006629A6">
        <w:tc>
          <w:tcPr>
            <w:tcW w:w="270" w:type="pct"/>
            <w:vMerge/>
            <w:vAlign w:val="center"/>
          </w:tcPr>
          <w:p w14:paraId="440A509B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5AC33228" w14:textId="77C9F7DA" w:rsidR="006629A6" w:rsidRPr="006629A6" w:rsidRDefault="006629A6" w:rsidP="00E87AC0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5. Identificar centímetros</w:t>
            </w:r>
            <w:r w:rsidR="00E87AC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6629A6">
              <w:rPr>
                <w:rFonts w:ascii="Tahoma" w:hAnsi="Tahoma" w:cs="Tahoma"/>
                <w:sz w:val="20"/>
                <w:szCs w:val="20"/>
              </w:rPr>
              <w:t>cúbico e metro cúbico como unidades de volume.</w:t>
            </w:r>
          </w:p>
        </w:tc>
        <w:tc>
          <w:tcPr>
            <w:tcW w:w="633" w:type="pct"/>
            <w:vAlign w:val="center"/>
          </w:tcPr>
          <w:p w14:paraId="0D681F4C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6E85564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0C4B364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1023F4BB" w14:textId="77777777" w:rsidTr="006629A6">
        <w:tc>
          <w:tcPr>
            <w:tcW w:w="270" w:type="pct"/>
            <w:vMerge/>
            <w:vAlign w:val="center"/>
          </w:tcPr>
          <w:p w14:paraId="4D1A138F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7C6D36BA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6. Escolher o gráfico mais adequado para representar os dados de uma pesquisa.</w:t>
            </w:r>
          </w:p>
        </w:tc>
        <w:tc>
          <w:tcPr>
            <w:tcW w:w="633" w:type="pct"/>
            <w:vAlign w:val="center"/>
          </w:tcPr>
          <w:p w14:paraId="04D97F5A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6F743E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6F42B09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3A6E6E40" w14:textId="77777777" w:rsidTr="006629A6">
        <w:tc>
          <w:tcPr>
            <w:tcW w:w="270" w:type="pct"/>
            <w:vMerge/>
            <w:vAlign w:val="center"/>
          </w:tcPr>
          <w:p w14:paraId="4E70522B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460D2A37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7. Fazer uma pesquisa desde a coleta de dados até a análise dos resultados.</w:t>
            </w:r>
          </w:p>
        </w:tc>
        <w:tc>
          <w:tcPr>
            <w:tcW w:w="633" w:type="pct"/>
            <w:vAlign w:val="center"/>
          </w:tcPr>
          <w:p w14:paraId="02195DB8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22D183D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37079F13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9A6" w:rsidRPr="006629A6" w14:paraId="1FE4B83A" w14:textId="77777777" w:rsidTr="006629A6">
        <w:tc>
          <w:tcPr>
            <w:tcW w:w="270" w:type="pct"/>
            <w:vMerge/>
            <w:vAlign w:val="center"/>
          </w:tcPr>
          <w:p w14:paraId="398858A1" w14:textId="77777777" w:rsidR="006629A6" w:rsidRPr="006629A6" w:rsidRDefault="006629A6" w:rsidP="006629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98" w:type="pct"/>
            <w:vAlign w:val="center"/>
          </w:tcPr>
          <w:p w14:paraId="3EBCE7FD" w14:textId="100498B9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6629A6">
              <w:rPr>
                <w:rFonts w:ascii="Tahoma" w:hAnsi="Tahoma" w:cs="Tahoma"/>
                <w:sz w:val="20"/>
                <w:szCs w:val="20"/>
              </w:rPr>
              <w:t>8. Favorecer o desenvolvimento das seguintes habilidades apresentadas na BNCC (3ª versão): EF05MA18, EF05MA19, EF05MA20, EF05MA21, EF05MA25.</w:t>
            </w:r>
          </w:p>
        </w:tc>
        <w:tc>
          <w:tcPr>
            <w:tcW w:w="633" w:type="pct"/>
            <w:vAlign w:val="center"/>
          </w:tcPr>
          <w:p w14:paraId="701CA408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15CDBFEB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1485B56" w14:textId="77777777" w:rsidR="006629A6" w:rsidRPr="006629A6" w:rsidRDefault="006629A6" w:rsidP="006629A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FE604A2" w14:textId="77777777" w:rsidR="00FB1C20" w:rsidRPr="0048490E" w:rsidRDefault="00FB1C20" w:rsidP="0029529F"/>
    <w:sectPr w:rsidR="00FB1C20" w:rsidRPr="0048490E" w:rsidSect="001577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2552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7DF2B" w14:textId="77777777" w:rsidR="00F8617F" w:rsidRDefault="00F8617F" w:rsidP="00B256BD">
      <w:r>
        <w:separator/>
      </w:r>
    </w:p>
  </w:endnote>
  <w:endnote w:type="continuationSeparator" w:id="0">
    <w:p w14:paraId="28071395" w14:textId="77777777" w:rsidR="00F8617F" w:rsidRDefault="00F8617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865ACF-72B9-4097-A294-3B161CAE0B5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F737B915-830B-4934-8BF4-4CFA9267552A}"/>
    <w:embedBold r:id="rId3" w:fontKey="{7CA78982-3E50-4059-8B3A-A8A5B1BA7214}"/>
    <w:embedBoldItalic r:id="rId4" w:fontKey="{027E85AC-334E-430F-B981-B799D1DD0D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F3D47C7-D867-4A45-AA27-E72A029F96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CE8768B-BF5A-43D1-B069-2B2D152CA41B}"/>
  </w:font>
  <w:font w:name="FrutigerLTStd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AC9E020-7148-4833-9A81-288A0B8AD39D}"/>
    <w:embedBold r:id="rId8" w:fontKey="{206FF582-08C6-4C3F-9A0A-AAB8AFAF19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CFB5FF0-9A32-4FED-9969-02E66F2EAA44}"/>
    <w:embedBold r:id="rId10" w:fontKey="{623B6839-3CAD-481F-9AEE-419D5B616022}"/>
    <w:embedItalic r:id="rId11" w:fontKey="{AD943E4D-BFBA-4519-B0ED-9A188D55F6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F842B8A4-5EA7-4F0C-BB38-F515120437CE}"/>
    <w:embedBold r:id="rId13" w:fontKey="{FBA51BAB-36B1-4858-8B8E-A83C74DA1BD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07DEBDCF-4437-4468-9470-43030E27593E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9701D382-6F5E-4D9B-ACF8-EFB138CB123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7E825467-64F3-43BD-BAD3-80A90A1C3AD8}"/>
    <w:embedBold r:id="rId17" w:fontKey="{BB4F62C7-3CC9-4398-A3BC-83E1817908DD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0BAB3E7A-1344-4CA8-B7EF-8D3D6B66FE5F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46BBEA72-1DCD-4985-81E3-3B226B8A2E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A794EAD7-A5B3-444C-8F2D-5D7B0535E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9EF80" w14:textId="77777777" w:rsidR="008C13D9" w:rsidRDefault="008C13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87F2" w14:textId="46C3EE6B" w:rsidR="007129F1" w:rsidRPr="007E3DAC" w:rsidRDefault="007129F1" w:rsidP="007129F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542EB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5B84B0AA" w14:textId="12F434DE" w:rsidR="00976A36" w:rsidRPr="007129F1" w:rsidRDefault="007129F1" w:rsidP="007129F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7D729" w14:textId="77777777" w:rsidR="008C13D9" w:rsidRDefault="008C13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B42F6" w14:textId="77777777" w:rsidR="00F8617F" w:rsidRDefault="00F8617F" w:rsidP="00B256BD">
      <w:r>
        <w:separator/>
      </w:r>
    </w:p>
  </w:footnote>
  <w:footnote w:type="continuationSeparator" w:id="0">
    <w:p w14:paraId="2BB6DE0A" w14:textId="77777777" w:rsidR="00F8617F" w:rsidRDefault="00F8617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24809" w14:textId="77777777" w:rsidR="008C13D9" w:rsidRDefault="008C13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455FFFB" w:rsidR="00976A36" w:rsidRDefault="003815F4" w:rsidP="00BA5D7C">
    <w:pPr>
      <w:ind w:right="360"/>
    </w:pPr>
    <w:r>
      <w:rPr>
        <w:noProof/>
        <w:lang w:val="en-US"/>
      </w:rPr>
      <w:drawing>
        <wp:inline distT="0" distB="0" distL="0" distR="0" wp14:anchorId="324A0B30" wp14:editId="5D9C0375">
          <wp:extent cx="5940000" cy="289846"/>
          <wp:effectExtent l="0" t="0" r="381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ARJA_ARM5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ED3EC" w14:textId="77777777" w:rsidR="008C13D9" w:rsidRDefault="008C13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35AD6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BC71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3267B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262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338B6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F544C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1ED9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39CE2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960F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8214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086D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095900"/>
    <w:multiLevelType w:val="hybridMultilevel"/>
    <w:tmpl w:val="A40CFA24"/>
    <w:lvl w:ilvl="0" w:tplc="FCEEF716">
      <w:start w:val="1"/>
      <w:numFmt w:val="decimal"/>
      <w:lvlText w:val="%1."/>
      <w:lvlJc w:val="left"/>
      <w:pPr>
        <w:ind w:left="720" w:hanging="360"/>
      </w:pPr>
      <w:rPr>
        <w:rFonts w:ascii="FrutigerLTStd-Light" w:hAnsi="FrutigerLTStd-Light" w:cs="FrutigerLTStd-Light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6"/>
  </w:num>
  <w:num w:numId="10">
    <w:abstractNumId w:val="14"/>
  </w:num>
  <w:num w:numId="11">
    <w:abstractNumId w:val="11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  <w:num w:numId="1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2FDF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74DC6"/>
    <w:rsid w:val="000841A8"/>
    <w:rsid w:val="000862AB"/>
    <w:rsid w:val="000904F7"/>
    <w:rsid w:val="00095B8A"/>
    <w:rsid w:val="000A02BB"/>
    <w:rsid w:val="000A1017"/>
    <w:rsid w:val="000A1D6A"/>
    <w:rsid w:val="000A2061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B70"/>
    <w:rsid w:val="00126F45"/>
    <w:rsid w:val="00127B90"/>
    <w:rsid w:val="001347ED"/>
    <w:rsid w:val="0013552F"/>
    <w:rsid w:val="001402A8"/>
    <w:rsid w:val="00153AAD"/>
    <w:rsid w:val="001573ED"/>
    <w:rsid w:val="00157738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5F27"/>
    <w:rsid w:val="001A16A4"/>
    <w:rsid w:val="001A4396"/>
    <w:rsid w:val="001A5D7A"/>
    <w:rsid w:val="001B0CBD"/>
    <w:rsid w:val="001B2485"/>
    <w:rsid w:val="001B798A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23F60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1F1"/>
    <w:rsid w:val="00281DA1"/>
    <w:rsid w:val="0029529F"/>
    <w:rsid w:val="002A31FF"/>
    <w:rsid w:val="002B4965"/>
    <w:rsid w:val="002B77A4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13090"/>
    <w:rsid w:val="00327E8D"/>
    <w:rsid w:val="00330860"/>
    <w:rsid w:val="003378F5"/>
    <w:rsid w:val="003444AA"/>
    <w:rsid w:val="00353D10"/>
    <w:rsid w:val="0035707B"/>
    <w:rsid w:val="0036035E"/>
    <w:rsid w:val="00371CF6"/>
    <w:rsid w:val="00374972"/>
    <w:rsid w:val="00375B0E"/>
    <w:rsid w:val="003815F4"/>
    <w:rsid w:val="00382DCC"/>
    <w:rsid w:val="00383229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A642D"/>
    <w:rsid w:val="004B0502"/>
    <w:rsid w:val="004B184C"/>
    <w:rsid w:val="004B51B0"/>
    <w:rsid w:val="004C137C"/>
    <w:rsid w:val="004D298A"/>
    <w:rsid w:val="004E614B"/>
    <w:rsid w:val="004E7996"/>
    <w:rsid w:val="004E7BAC"/>
    <w:rsid w:val="004F6DCC"/>
    <w:rsid w:val="004F7DD5"/>
    <w:rsid w:val="005042ED"/>
    <w:rsid w:val="0051191E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437F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29A6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1DCC"/>
    <w:rsid w:val="007030E3"/>
    <w:rsid w:val="0070336B"/>
    <w:rsid w:val="00703B0F"/>
    <w:rsid w:val="007129F1"/>
    <w:rsid w:val="00720F34"/>
    <w:rsid w:val="00725F0E"/>
    <w:rsid w:val="00734F82"/>
    <w:rsid w:val="00742BC4"/>
    <w:rsid w:val="00746C25"/>
    <w:rsid w:val="007533AF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D352F"/>
    <w:rsid w:val="007E372E"/>
    <w:rsid w:val="007E3D20"/>
    <w:rsid w:val="007E4227"/>
    <w:rsid w:val="007F0774"/>
    <w:rsid w:val="007F5A3C"/>
    <w:rsid w:val="00802755"/>
    <w:rsid w:val="00803036"/>
    <w:rsid w:val="008108D6"/>
    <w:rsid w:val="00813409"/>
    <w:rsid w:val="00813F94"/>
    <w:rsid w:val="008249B0"/>
    <w:rsid w:val="00825B01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568"/>
    <w:rsid w:val="00885F24"/>
    <w:rsid w:val="008B1D6C"/>
    <w:rsid w:val="008B2687"/>
    <w:rsid w:val="008B7EBC"/>
    <w:rsid w:val="008C0CFC"/>
    <w:rsid w:val="008C13D9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12DB2"/>
    <w:rsid w:val="00921264"/>
    <w:rsid w:val="00923E3B"/>
    <w:rsid w:val="009251CB"/>
    <w:rsid w:val="00927E71"/>
    <w:rsid w:val="0093527A"/>
    <w:rsid w:val="00935FDB"/>
    <w:rsid w:val="00944D34"/>
    <w:rsid w:val="00952BE8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B6878"/>
    <w:rsid w:val="009C0DD2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4787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0CC"/>
    <w:rsid w:val="00BB7401"/>
    <w:rsid w:val="00BB7F2E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3AA2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489A"/>
    <w:rsid w:val="00D46AE7"/>
    <w:rsid w:val="00D477B4"/>
    <w:rsid w:val="00D55FEA"/>
    <w:rsid w:val="00D56183"/>
    <w:rsid w:val="00D56D91"/>
    <w:rsid w:val="00D61095"/>
    <w:rsid w:val="00D644B7"/>
    <w:rsid w:val="00D7172C"/>
    <w:rsid w:val="00D73A74"/>
    <w:rsid w:val="00D77077"/>
    <w:rsid w:val="00D77DD0"/>
    <w:rsid w:val="00D818EF"/>
    <w:rsid w:val="00D857A9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6D56"/>
    <w:rsid w:val="00E77DE9"/>
    <w:rsid w:val="00E855E6"/>
    <w:rsid w:val="00E87AC0"/>
    <w:rsid w:val="00E92D34"/>
    <w:rsid w:val="00EA1575"/>
    <w:rsid w:val="00EA68DD"/>
    <w:rsid w:val="00EB0616"/>
    <w:rsid w:val="00EB7F06"/>
    <w:rsid w:val="00EC2539"/>
    <w:rsid w:val="00EC4622"/>
    <w:rsid w:val="00EC471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04DE"/>
    <w:rsid w:val="00F24673"/>
    <w:rsid w:val="00F447CD"/>
    <w:rsid w:val="00F45BFC"/>
    <w:rsid w:val="00F542EB"/>
    <w:rsid w:val="00F57A7A"/>
    <w:rsid w:val="00F66E4D"/>
    <w:rsid w:val="00F67BD1"/>
    <w:rsid w:val="00F76257"/>
    <w:rsid w:val="00F8054F"/>
    <w:rsid w:val="00F80A77"/>
    <w:rsid w:val="00F810DB"/>
    <w:rsid w:val="00F8617F"/>
    <w:rsid w:val="00F913B2"/>
    <w:rsid w:val="00F9278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5813AC91-4C2A-403B-B241-7B2DDD5E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3444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0D5ACD-328F-4708-819F-DD04DDBAC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323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Marilu Maranho Tassetto Pellegatti</cp:lastModifiedBy>
  <cp:revision>3</cp:revision>
  <cp:lastPrinted>2017-10-09T19:08:00Z</cp:lastPrinted>
  <dcterms:created xsi:type="dcterms:W3CDTF">2018-01-31T12:24:00Z</dcterms:created>
  <dcterms:modified xsi:type="dcterms:W3CDTF">2018-01-31T12:33:00Z</dcterms:modified>
</cp:coreProperties>
</file>