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928A9" w14:textId="24D07A3C" w:rsidR="0029529F" w:rsidRDefault="0029529F" w:rsidP="0029529F">
      <w:pPr>
        <w:pStyle w:val="00P1"/>
        <w:rPr>
          <w:caps w:val="0"/>
        </w:rPr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 xml:space="preserve">– </w:t>
      </w:r>
      <w:r w:rsidR="00AD5A46">
        <w:t>4</w:t>
      </w:r>
      <w:r w:rsidR="009B6878" w:rsidRPr="009B6878">
        <w:rPr>
          <w:sz w:val="24"/>
          <w:szCs w:val="24"/>
          <w:u w:val="single"/>
          <w:vertAlign w:val="superscript"/>
        </w:rPr>
        <w:t>o</w:t>
      </w:r>
      <w:r w:rsidRPr="008E5465">
        <w:t xml:space="preserve"> </w:t>
      </w:r>
      <w:r w:rsidRPr="008E5465">
        <w:rPr>
          <w:caps w:val="0"/>
        </w:rPr>
        <w:t>bimestre</w:t>
      </w:r>
    </w:p>
    <w:p w14:paraId="6CEE079E" w14:textId="7C6C88DD" w:rsidR="00C360C9" w:rsidRDefault="00C360C9" w:rsidP="0029529F">
      <w:pPr>
        <w:pStyle w:val="00P1"/>
        <w:rPr>
          <w:caps w:val="0"/>
        </w:rPr>
      </w:pP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610"/>
        <w:gridCol w:w="4800"/>
        <w:gridCol w:w="1314"/>
        <w:gridCol w:w="1794"/>
        <w:gridCol w:w="1312"/>
        <w:gridCol w:w="18"/>
      </w:tblGrid>
      <w:tr w:rsidR="00AD5A46" w:rsidRPr="00AD5A46" w14:paraId="727AD20B" w14:textId="77777777" w:rsidTr="00C360C9">
        <w:trPr>
          <w:trHeight w:val="1262"/>
        </w:trPr>
        <w:tc>
          <w:tcPr>
            <w:tcW w:w="5000" w:type="pct"/>
            <w:gridSpan w:val="6"/>
          </w:tcPr>
          <w:p w14:paraId="682EE1D0" w14:textId="77777777" w:rsidR="00AD5A46" w:rsidRPr="003444AA" w:rsidRDefault="00AD5A46" w:rsidP="00AD5A46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Nome: ________________________________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___________________________</w:t>
            </w:r>
          </w:p>
          <w:p w14:paraId="1B504BDB" w14:textId="6999DFC5" w:rsidR="00AD5A46" w:rsidRPr="00AD5A46" w:rsidRDefault="00AD5A46" w:rsidP="00AD5A46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Classe: ______________________________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_____________________________</w:t>
            </w:r>
          </w:p>
        </w:tc>
      </w:tr>
      <w:tr w:rsidR="00AD5A46" w:rsidRPr="00AD5A46" w14:paraId="0FDA0195" w14:textId="77777777" w:rsidTr="00C360C9">
        <w:trPr>
          <w:gridAfter w:val="1"/>
          <w:wAfter w:w="9" w:type="pct"/>
        </w:trPr>
        <w:tc>
          <w:tcPr>
            <w:tcW w:w="310" w:type="pct"/>
          </w:tcPr>
          <w:p w14:paraId="6CD8E6C1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  <w:vAlign w:val="center"/>
          </w:tcPr>
          <w:p w14:paraId="58197691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5A46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67" w:type="pct"/>
            <w:vAlign w:val="center"/>
          </w:tcPr>
          <w:p w14:paraId="63E68DA3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5A46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911" w:type="pct"/>
            <w:vAlign w:val="center"/>
          </w:tcPr>
          <w:p w14:paraId="1ED494D0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5A46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66" w:type="pct"/>
            <w:vAlign w:val="center"/>
          </w:tcPr>
          <w:p w14:paraId="5C5DA6EF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5A46">
              <w:rPr>
                <w:rFonts w:ascii="Tahoma" w:hAnsi="Tahoma" w:cs="Tahoma"/>
                <w:b/>
                <w:sz w:val="20"/>
                <w:szCs w:val="20"/>
              </w:rPr>
              <w:t>Conhece pouco</w:t>
            </w:r>
          </w:p>
        </w:tc>
      </w:tr>
      <w:tr w:rsidR="00AD5A46" w:rsidRPr="00AD5A46" w14:paraId="5DD76B33" w14:textId="77777777" w:rsidTr="00C360C9">
        <w:trPr>
          <w:gridAfter w:val="1"/>
          <w:wAfter w:w="9" w:type="pct"/>
        </w:trPr>
        <w:tc>
          <w:tcPr>
            <w:tcW w:w="310" w:type="pct"/>
            <w:vMerge w:val="restart"/>
            <w:textDirection w:val="btLr"/>
            <w:vAlign w:val="center"/>
          </w:tcPr>
          <w:p w14:paraId="501F8557" w14:textId="1CC0A4B0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D5A46">
              <w:rPr>
                <w:rFonts w:ascii="Tahoma" w:hAnsi="Tahoma" w:cs="Tahoma"/>
                <w:b/>
                <w:sz w:val="20"/>
                <w:szCs w:val="20"/>
              </w:rPr>
              <w:t>Unidade 8</w:t>
            </w:r>
          </w:p>
        </w:tc>
        <w:tc>
          <w:tcPr>
            <w:tcW w:w="2437" w:type="pct"/>
          </w:tcPr>
          <w:p w14:paraId="644B2F0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1. Trabalhar a ideia de fração como parte de um todo (contínuo e discreto).</w:t>
            </w:r>
          </w:p>
        </w:tc>
        <w:tc>
          <w:tcPr>
            <w:tcW w:w="667" w:type="pct"/>
          </w:tcPr>
          <w:p w14:paraId="3358D466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71D91C40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311DC33B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7D82FB26" w14:textId="77777777" w:rsidTr="00C360C9">
        <w:trPr>
          <w:gridAfter w:val="1"/>
          <w:wAfter w:w="9" w:type="pct"/>
        </w:trPr>
        <w:tc>
          <w:tcPr>
            <w:tcW w:w="310" w:type="pct"/>
            <w:vMerge/>
            <w:vAlign w:val="center"/>
          </w:tcPr>
          <w:p w14:paraId="2C386948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437" w:type="pct"/>
          </w:tcPr>
          <w:p w14:paraId="0B2BBC43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2. Explorar a leitura de frações.</w:t>
            </w:r>
          </w:p>
        </w:tc>
        <w:tc>
          <w:tcPr>
            <w:tcW w:w="667" w:type="pct"/>
          </w:tcPr>
          <w:p w14:paraId="27E2064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25184EAE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308F1E1D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19B1AD63" w14:textId="77777777" w:rsidTr="00C360C9">
        <w:trPr>
          <w:gridAfter w:val="1"/>
          <w:wAfter w:w="9" w:type="pct"/>
        </w:trPr>
        <w:tc>
          <w:tcPr>
            <w:tcW w:w="310" w:type="pct"/>
            <w:vMerge/>
            <w:vAlign w:val="center"/>
          </w:tcPr>
          <w:p w14:paraId="24E9DEFC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437" w:type="pct"/>
          </w:tcPr>
          <w:p w14:paraId="3B1C3EE4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3. Localizar números na forma de fração na reta numérica.</w:t>
            </w:r>
          </w:p>
        </w:tc>
        <w:tc>
          <w:tcPr>
            <w:tcW w:w="667" w:type="pct"/>
          </w:tcPr>
          <w:p w14:paraId="45A58665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7A21BB2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7B16185D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3D9DB7DF" w14:textId="77777777" w:rsidTr="00C360C9">
        <w:trPr>
          <w:gridAfter w:val="1"/>
          <w:wAfter w:w="9" w:type="pct"/>
        </w:trPr>
        <w:tc>
          <w:tcPr>
            <w:tcW w:w="310" w:type="pct"/>
            <w:vMerge/>
            <w:vAlign w:val="center"/>
          </w:tcPr>
          <w:p w14:paraId="50555D58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437" w:type="pct"/>
          </w:tcPr>
          <w:p w14:paraId="75EAE384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4. Calcular a fração de uma quantidade.</w:t>
            </w:r>
          </w:p>
        </w:tc>
        <w:tc>
          <w:tcPr>
            <w:tcW w:w="667" w:type="pct"/>
          </w:tcPr>
          <w:p w14:paraId="4F272408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2B9E2218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6C8ECEB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4A73EFD0" w14:textId="77777777" w:rsidTr="00C360C9">
        <w:trPr>
          <w:gridAfter w:val="1"/>
          <w:wAfter w:w="9" w:type="pct"/>
        </w:trPr>
        <w:tc>
          <w:tcPr>
            <w:tcW w:w="310" w:type="pct"/>
            <w:vMerge/>
            <w:vAlign w:val="center"/>
          </w:tcPr>
          <w:p w14:paraId="66A3BB0E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437" w:type="pct"/>
          </w:tcPr>
          <w:p w14:paraId="324BE825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5. Organizar dados em gráficos de setores cujas partes (setores) correspondem à metade e à metade da metade do círculo todo.</w:t>
            </w:r>
          </w:p>
        </w:tc>
        <w:tc>
          <w:tcPr>
            <w:tcW w:w="667" w:type="pct"/>
          </w:tcPr>
          <w:p w14:paraId="2515A80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4ADC3DE1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7E3ECE0E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5B61645E" w14:textId="77777777" w:rsidTr="00C360C9">
        <w:trPr>
          <w:gridAfter w:val="1"/>
          <w:wAfter w:w="9" w:type="pct"/>
        </w:trPr>
        <w:tc>
          <w:tcPr>
            <w:tcW w:w="310" w:type="pct"/>
            <w:vMerge/>
            <w:vAlign w:val="center"/>
          </w:tcPr>
          <w:p w14:paraId="5CC3DACC" w14:textId="77777777" w:rsidR="00AD5A46" w:rsidRPr="00AD5A46" w:rsidRDefault="00AD5A46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437" w:type="pct"/>
          </w:tcPr>
          <w:p w14:paraId="60ADB4F3" w14:textId="09EA83DA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6. Favorecer o desenvolvimento da seguinte habilidade apresentada na BNCC (3</w:t>
            </w:r>
            <w:r w:rsidRPr="00E13FD6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AD5A46">
              <w:rPr>
                <w:rFonts w:ascii="Tahoma" w:hAnsi="Tahoma" w:cs="Tahoma"/>
                <w:sz w:val="20"/>
                <w:szCs w:val="20"/>
              </w:rPr>
              <w:t xml:space="preserve"> versão): EF04MA09</w:t>
            </w:r>
            <w:r w:rsidR="007960A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667" w:type="pct"/>
          </w:tcPr>
          <w:p w14:paraId="0303BD40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417FF41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64C4579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6A84E8CE" w14:textId="77777777" w:rsidTr="00C360C9">
        <w:trPr>
          <w:gridAfter w:val="1"/>
          <w:wAfter w:w="9" w:type="pct"/>
        </w:trPr>
        <w:tc>
          <w:tcPr>
            <w:tcW w:w="310" w:type="pct"/>
            <w:vMerge w:val="restart"/>
            <w:textDirection w:val="btLr"/>
            <w:vAlign w:val="center"/>
          </w:tcPr>
          <w:p w14:paraId="4254578B" w14:textId="2E9A72DB" w:rsidR="00AD5A46" w:rsidRPr="00AD5A46" w:rsidRDefault="00C360C9" w:rsidP="00AD5A4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U</w:t>
            </w:r>
            <w:r w:rsidR="00AD5A46" w:rsidRPr="00AD5A46">
              <w:rPr>
                <w:rFonts w:ascii="Tahoma" w:hAnsi="Tahoma" w:cs="Tahoma"/>
                <w:b/>
                <w:sz w:val="20"/>
                <w:szCs w:val="20"/>
              </w:rPr>
              <w:t>nidade 9</w:t>
            </w:r>
          </w:p>
        </w:tc>
        <w:tc>
          <w:tcPr>
            <w:tcW w:w="2437" w:type="pct"/>
          </w:tcPr>
          <w:p w14:paraId="38AF50D4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1. Compreender a ideia de décimos, centésimos e milésimos.</w:t>
            </w:r>
          </w:p>
        </w:tc>
        <w:tc>
          <w:tcPr>
            <w:tcW w:w="667" w:type="pct"/>
          </w:tcPr>
          <w:p w14:paraId="38BCACFB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3944FC77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26962E8F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5443C5B9" w14:textId="77777777" w:rsidTr="00C360C9">
        <w:trPr>
          <w:gridAfter w:val="1"/>
          <w:wAfter w:w="9" w:type="pct"/>
        </w:trPr>
        <w:tc>
          <w:tcPr>
            <w:tcW w:w="310" w:type="pct"/>
            <w:vMerge/>
          </w:tcPr>
          <w:p w14:paraId="07E42445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</w:tcPr>
          <w:p w14:paraId="56502117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2. Relacionar o centésimo da unidade com o centavo de real.</w:t>
            </w:r>
          </w:p>
        </w:tc>
        <w:tc>
          <w:tcPr>
            <w:tcW w:w="667" w:type="pct"/>
          </w:tcPr>
          <w:p w14:paraId="5B1247C5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6758374B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3E4E1336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04D79510" w14:textId="77777777" w:rsidTr="00C360C9">
        <w:trPr>
          <w:gridAfter w:val="1"/>
          <w:wAfter w:w="9" w:type="pct"/>
        </w:trPr>
        <w:tc>
          <w:tcPr>
            <w:tcW w:w="310" w:type="pct"/>
            <w:vMerge/>
          </w:tcPr>
          <w:p w14:paraId="47053282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</w:tcPr>
          <w:p w14:paraId="2D6F7913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3. Ampliar o conhecimento do sistema de numeração decimal por meio da compreensão dos números na forma decimal.</w:t>
            </w:r>
          </w:p>
        </w:tc>
        <w:tc>
          <w:tcPr>
            <w:tcW w:w="667" w:type="pct"/>
          </w:tcPr>
          <w:p w14:paraId="28848B32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7FDCC6F7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53C9EEB6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2E07BB52" w14:textId="77777777" w:rsidTr="00C360C9">
        <w:trPr>
          <w:gridAfter w:val="1"/>
          <w:wAfter w:w="9" w:type="pct"/>
        </w:trPr>
        <w:tc>
          <w:tcPr>
            <w:tcW w:w="310" w:type="pct"/>
            <w:vMerge/>
          </w:tcPr>
          <w:p w14:paraId="5D7E2B3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</w:tcPr>
          <w:p w14:paraId="4C4D348C" w14:textId="2CE93D08" w:rsidR="00AD5A46" w:rsidRPr="00AD5A46" w:rsidRDefault="00E13FD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 Representar, na forma deci</w:t>
            </w:r>
            <w:r w:rsidR="00AD5A46" w:rsidRPr="00AD5A46">
              <w:rPr>
                <w:rFonts w:ascii="Tahoma" w:hAnsi="Tahoma" w:cs="Tahoma"/>
                <w:sz w:val="20"/>
                <w:szCs w:val="20"/>
              </w:rPr>
              <w:t>mal, números maiores que uma unidade, destacando a parte inteira e a parte decimal de cada um.</w:t>
            </w:r>
          </w:p>
        </w:tc>
        <w:tc>
          <w:tcPr>
            <w:tcW w:w="667" w:type="pct"/>
          </w:tcPr>
          <w:p w14:paraId="48E5CEF4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3341364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67CC91F1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1A31557B" w14:textId="77777777" w:rsidTr="00C360C9">
        <w:trPr>
          <w:gridAfter w:val="1"/>
          <w:wAfter w:w="9" w:type="pct"/>
        </w:trPr>
        <w:tc>
          <w:tcPr>
            <w:tcW w:w="310" w:type="pct"/>
            <w:vMerge/>
          </w:tcPr>
          <w:p w14:paraId="79A9FA6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</w:tcPr>
          <w:p w14:paraId="08F905F0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5. Expressar resultados de medições com números na forma decimal.</w:t>
            </w:r>
          </w:p>
        </w:tc>
        <w:tc>
          <w:tcPr>
            <w:tcW w:w="667" w:type="pct"/>
          </w:tcPr>
          <w:p w14:paraId="54656FA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527A0F1F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2FA2F8D8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1A65E4EB" w14:textId="77777777" w:rsidTr="00C360C9">
        <w:trPr>
          <w:gridAfter w:val="1"/>
          <w:wAfter w:w="9" w:type="pct"/>
        </w:trPr>
        <w:tc>
          <w:tcPr>
            <w:tcW w:w="310" w:type="pct"/>
            <w:vMerge/>
          </w:tcPr>
          <w:p w14:paraId="71A90F72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37" w:type="pct"/>
          </w:tcPr>
          <w:p w14:paraId="7DC2785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6. Calcular por meio de diferentes estratégias adições e subtrações envolvendo números na forma decimal.</w:t>
            </w:r>
          </w:p>
        </w:tc>
        <w:tc>
          <w:tcPr>
            <w:tcW w:w="667" w:type="pct"/>
          </w:tcPr>
          <w:p w14:paraId="2890234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1" w:type="pct"/>
          </w:tcPr>
          <w:p w14:paraId="3CA6747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6" w:type="pct"/>
          </w:tcPr>
          <w:p w14:paraId="58CF0E56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9B0A383" w14:textId="7A94DD32" w:rsidR="00C34035" w:rsidRDefault="00C34035" w:rsidP="00C34035">
      <w:pPr>
        <w:pStyle w:val="00textosemparagrafo"/>
        <w:spacing w:before="120"/>
        <w:jc w:val="right"/>
      </w:pPr>
      <w:r>
        <w:t>(continua)</w:t>
      </w:r>
    </w:p>
    <w:p w14:paraId="63739941" w14:textId="276AB247" w:rsidR="00C34035" w:rsidRDefault="00C34035">
      <w:r>
        <w:br w:type="page"/>
      </w:r>
    </w:p>
    <w:p w14:paraId="434624B6" w14:textId="5183C18D" w:rsidR="00C34035" w:rsidRDefault="00C34035" w:rsidP="00C34035">
      <w:pPr>
        <w:pStyle w:val="00textosemparagrafo"/>
      </w:pPr>
      <w:r>
        <w:lastRenderedPageBreak/>
        <w:t>(continuação)</w:t>
      </w:r>
    </w:p>
    <w:tbl>
      <w:tblPr>
        <w:tblStyle w:val="TabeladeGradeClara2"/>
        <w:tblW w:w="4991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610"/>
        <w:gridCol w:w="4801"/>
        <w:gridCol w:w="1313"/>
        <w:gridCol w:w="1795"/>
        <w:gridCol w:w="1311"/>
      </w:tblGrid>
      <w:tr w:rsidR="00AD5A46" w:rsidRPr="00AD5A46" w14:paraId="4E7C39ED" w14:textId="77777777" w:rsidTr="00C34035">
        <w:tc>
          <w:tcPr>
            <w:tcW w:w="310" w:type="pct"/>
            <w:vMerge w:val="restart"/>
          </w:tcPr>
          <w:p w14:paraId="520BBF85" w14:textId="1B9FFB2C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442" w:type="pct"/>
          </w:tcPr>
          <w:p w14:paraId="27BF3B57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7. Conhecer diferentes representações de um mesmo número, identificando suas formas fracionária e decimal.</w:t>
            </w:r>
          </w:p>
        </w:tc>
        <w:tc>
          <w:tcPr>
            <w:tcW w:w="668" w:type="pct"/>
          </w:tcPr>
          <w:p w14:paraId="6E545344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340B4FAA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30FBFF41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3625BC7E" w14:textId="77777777" w:rsidTr="00C34035">
        <w:tc>
          <w:tcPr>
            <w:tcW w:w="310" w:type="pct"/>
            <w:vMerge/>
          </w:tcPr>
          <w:p w14:paraId="0EC726B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42" w:type="pct"/>
          </w:tcPr>
          <w:p w14:paraId="092530B9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8. Agrupar dados e organizá-los em tabelas.</w:t>
            </w:r>
          </w:p>
        </w:tc>
        <w:tc>
          <w:tcPr>
            <w:tcW w:w="668" w:type="pct"/>
          </w:tcPr>
          <w:p w14:paraId="72CACE72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695ECFD1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75576E0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A46" w:rsidRPr="00AD5A46" w14:paraId="17A3C19D" w14:textId="77777777" w:rsidTr="00C34035">
        <w:tc>
          <w:tcPr>
            <w:tcW w:w="310" w:type="pct"/>
            <w:vMerge/>
          </w:tcPr>
          <w:p w14:paraId="60BD0A9C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42" w:type="pct"/>
          </w:tcPr>
          <w:p w14:paraId="4F4CDE89" w14:textId="3538E76A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AD5A46">
              <w:rPr>
                <w:rFonts w:ascii="Tahoma" w:hAnsi="Tahoma" w:cs="Tahoma"/>
                <w:sz w:val="20"/>
                <w:szCs w:val="20"/>
              </w:rPr>
              <w:t>9. Favorecer o desenvolvimento da seguinte habilidade apresentada na BNCC (3</w:t>
            </w:r>
            <w:r w:rsidRPr="00E13FD6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AD5A46">
              <w:rPr>
                <w:rFonts w:ascii="Tahoma" w:hAnsi="Tahoma" w:cs="Tahoma"/>
                <w:sz w:val="20"/>
                <w:szCs w:val="20"/>
              </w:rPr>
              <w:t xml:space="preserve"> versão): EF04MA10</w:t>
            </w:r>
            <w:r w:rsidR="007960A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668" w:type="pct"/>
          </w:tcPr>
          <w:p w14:paraId="5301FBC5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0E2491C8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2BF957A3" w14:textId="77777777" w:rsidR="00AD5A46" w:rsidRPr="00AD5A46" w:rsidRDefault="00AD5A46" w:rsidP="00AD5A4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164" w:rsidRPr="00AD5A46" w14:paraId="35651E43" w14:textId="77777777" w:rsidTr="00C34035">
        <w:tc>
          <w:tcPr>
            <w:tcW w:w="310" w:type="pct"/>
            <w:vMerge w:val="restart"/>
            <w:textDirection w:val="btLr"/>
          </w:tcPr>
          <w:p w14:paraId="508938EE" w14:textId="715B52FF" w:rsidR="00B73164" w:rsidRPr="00AD5A46" w:rsidRDefault="00B73164" w:rsidP="00B73164">
            <w:pPr>
              <w:spacing w:before="60" w:after="60"/>
              <w:ind w:left="113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A67AB">
              <w:rPr>
                <w:rFonts w:ascii="Tahoma" w:hAnsi="Tahoma" w:cs="Tahoma"/>
                <w:b/>
                <w:sz w:val="20"/>
                <w:szCs w:val="20"/>
              </w:rPr>
              <w:t>Unidade 10</w:t>
            </w:r>
          </w:p>
        </w:tc>
        <w:tc>
          <w:tcPr>
            <w:tcW w:w="2442" w:type="pct"/>
          </w:tcPr>
          <w:p w14:paraId="3B59D542" w14:textId="795F4FAA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A67AB">
              <w:rPr>
                <w:rFonts w:ascii="Tahoma" w:hAnsi="Tahoma" w:cs="Tahoma"/>
                <w:color w:val="221E1F"/>
                <w:sz w:val="20"/>
                <w:szCs w:val="20"/>
              </w:rPr>
              <w:t>1. Recordar as unidades de medida de massa padronizadas, quilograma, grama e miligrama, já estudadas em anos anteriores e introduzir a unidade de medida tonelada.</w:t>
            </w:r>
          </w:p>
        </w:tc>
        <w:tc>
          <w:tcPr>
            <w:tcW w:w="668" w:type="pct"/>
          </w:tcPr>
          <w:p w14:paraId="005713CE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279F7C9C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2C7C3E0C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164" w:rsidRPr="00AD5A46" w14:paraId="57F0886F" w14:textId="77777777" w:rsidTr="00C34035">
        <w:tc>
          <w:tcPr>
            <w:tcW w:w="310" w:type="pct"/>
            <w:vMerge/>
          </w:tcPr>
          <w:p w14:paraId="10D13856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42" w:type="pct"/>
          </w:tcPr>
          <w:p w14:paraId="456AF4B6" w14:textId="61AB74C0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A67AB"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EA67AB">
              <w:rPr>
                <w:rFonts w:ascii="Tahoma" w:hAnsi="Tahoma" w:cs="Tahoma"/>
                <w:color w:val="221E1F"/>
                <w:sz w:val="20"/>
                <w:szCs w:val="20"/>
              </w:rPr>
              <w:t>Relembrar o que já estudou em anos anteriores e aprofundar um pouco mais os conceitos das unidades padronizadas de capacidade</w:t>
            </w:r>
            <w:r w:rsidR="00374CAA">
              <w:rPr>
                <w:rFonts w:ascii="Tahoma" w:hAnsi="Tahoma" w:cs="Tahoma"/>
                <w:color w:val="221E1F"/>
                <w:sz w:val="20"/>
                <w:szCs w:val="20"/>
              </w:rPr>
              <w:t xml:space="preserve"> e de temperatura</w:t>
            </w:r>
          </w:p>
        </w:tc>
        <w:tc>
          <w:tcPr>
            <w:tcW w:w="668" w:type="pct"/>
          </w:tcPr>
          <w:p w14:paraId="333AD02C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7250EA98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2544B56B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164" w:rsidRPr="00AD5A46" w14:paraId="355617F0" w14:textId="77777777" w:rsidTr="00C34035">
        <w:tc>
          <w:tcPr>
            <w:tcW w:w="310" w:type="pct"/>
            <w:vMerge/>
          </w:tcPr>
          <w:p w14:paraId="0BFD75AA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42" w:type="pct"/>
          </w:tcPr>
          <w:p w14:paraId="1597AC83" w14:textId="49E4B8B2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A67AB">
              <w:rPr>
                <w:rFonts w:ascii="Tahoma" w:hAnsi="Tahoma" w:cs="Tahoma"/>
                <w:sz w:val="20"/>
                <w:szCs w:val="20"/>
              </w:rPr>
              <w:t>3. Coletar dados referentes a duas variáveis, compará-los e organizá-los em uma planilha eletrônica.</w:t>
            </w:r>
          </w:p>
        </w:tc>
        <w:tc>
          <w:tcPr>
            <w:tcW w:w="668" w:type="pct"/>
          </w:tcPr>
          <w:p w14:paraId="76C1E871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07FF2280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61DB4E42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73164" w:rsidRPr="00AD5A46" w14:paraId="06D35E88" w14:textId="77777777" w:rsidTr="00C34035">
        <w:tc>
          <w:tcPr>
            <w:tcW w:w="310" w:type="pct"/>
            <w:vMerge/>
          </w:tcPr>
          <w:p w14:paraId="26CBF40E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42" w:type="pct"/>
          </w:tcPr>
          <w:p w14:paraId="795E865D" w14:textId="668E5E20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EA67AB">
              <w:rPr>
                <w:rFonts w:ascii="Tahoma" w:hAnsi="Tahoma" w:cs="Tahoma"/>
                <w:sz w:val="20"/>
                <w:szCs w:val="20"/>
              </w:rPr>
              <w:t>4. Favorecer o desenvolvimento das seguintes habilidades apresentadas na BNCC (3</w:t>
            </w:r>
            <w:r w:rsidRPr="00EA67AB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EA67AB">
              <w:rPr>
                <w:rFonts w:ascii="Tahoma" w:hAnsi="Tahoma" w:cs="Tahoma"/>
                <w:sz w:val="20"/>
                <w:szCs w:val="20"/>
              </w:rPr>
              <w:t xml:space="preserve"> versão): EF04MA20, EF04MA23, EF04MA24, EF04MA25 e EF04MA28.</w:t>
            </w:r>
          </w:p>
        </w:tc>
        <w:tc>
          <w:tcPr>
            <w:tcW w:w="668" w:type="pct"/>
          </w:tcPr>
          <w:p w14:paraId="3A55905A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13" w:type="pct"/>
          </w:tcPr>
          <w:p w14:paraId="7F8F9C31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67" w:type="pct"/>
          </w:tcPr>
          <w:p w14:paraId="4367F94A" w14:textId="77777777" w:rsidR="00B73164" w:rsidRPr="00AD5A46" w:rsidRDefault="00B73164" w:rsidP="00B7316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5DFA7CB" w14:textId="0C9FD7F5" w:rsidR="007960A5" w:rsidRDefault="007960A5" w:rsidP="00B73164"/>
    <w:sectPr w:rsidR="007960A5" w:rsidSect="0053201E">
      <w:headerReference w:type="default" r:id="rId8"/>
      <w:footerReference w:type="default" r:id="rId9"/>
      <w:pgSz w:w="11900" w:h="16840"/>
      <w:pgMar w:top="2268" w:right="1134" w:bottom="2552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ED789" w14:textId="77777777" w:rsidR="000C657F" w:rsidRDefault="000C657F" w:rsidP="00B256BD">
      <w:r>
        <w:separator/>
      </w:r>
    </w:p>
  </w:endnote>
  <w:endnote w:type="continuationSeparator" w:id="0">
    <w:p w14:paraId="2EB9DADA" w14:textId="77777777" w:rsidR="000C657F" w:rsidRDefault="000C657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4CB50B-37DA-44B1-B218-D9299D604F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BFFBF5-A814-408D-BC83-DFD56DC1719C}"/>
    <w:embedBold r:id="rId3" w:fontKey="{53C870DC-ACF9-4146-AC25-62B88A9ED4B4}"/>
    <w:embedBoldItalic r:id="rId4" w:fontKey="{9A81F9AF-3E02-496A-BAEA-E88F89C233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04AFA2-1B9A-4DFC-8F1E-D46E7111E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42D9107-6C1D-4604-95DF-8C53E4E7B8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793891C-0979-45D6-A931-309D695456AF}"/>
    <w:embedBold r:id="rId8" w:fontKey="{E08E78A5-5468-4468-B35D-A4D9692F39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CED8FC4-071B-48CE-9C2E-2E7DC0B109AB}"/>
    <w:embedBold r:id="rId10" w:fontKey="{8D25E880-B30C-4D30-BC51-50855C13B95B}"/>
    <w:embedItalic r:id="rId11" w:fontKey="{8CFFD492-73FD-42A2-89C3-653F3E65BBC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76B6D25-28FD-41EE-8F14-E33506DB287A}"/>
    <w:embedBold r:id="rId13" w:fontKey="{7AAB5176-ED61-4764-9131-13622D1408A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B494331A-0D33-4EFC-BFF8-3BE20BF6FADF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596B9CA7-6FF9-4761-BDD7-041060F7142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639A0B8-7C63-4D32-B7F9-1B797E14BF56}"/>
    <w:embedBold r:id="rId17" w:fontKey="{602FF9DE-B25B-4CF3-ACAC-E6FE9395282E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7AC3AA33-C354-400A-B4FB-A66A978997EE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E556B1E4-DB3B-4FC5-9478-ED0982375E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60D7574B-B6F8-4EAC-B384-8230E354F2A5}"/>
  </w:font>
  <w:font w:name="Frutiger LT Std 55 Roman">
    <w:altName w:val="Cambria"/>
    <w:charset w:val="00"/>
    <w:family w:val="auto"/>
    <w:pitch w:val="variable"/>
    <w:sig w:usb0="800000AF" w:usb1="4000204A" w:usb2="00000000" w:usb3="00000000" w:csb0="00000001" w:csb1="00000000"/>
    <w:embedRegular r:id="rId21" w:fontKey="{0716E8FC-08BA-4DA6-AE39-977218464A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72567303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34035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355A4" w14:textId="77777777" w:rsidR="000C657F" w:rsidRDefault="000C657F" w:rsidP="00B256BD">
      <w:r>
        <w:separator/>
      </w:r>
    </w:p>
  </w:footnote>
  <w:footnote w:type="continuationSeparator" w:id="0">
    <w:p w14:paraId="29B1A7F0" w14:textId="77777777" w:rsidR="000C657F" w:rsidRDefault="000C657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5543BE5" w:rsidR="00976A36" w:rsidRDefault="0053201E" w:rsidP="00BA5D7C">
    <w:pPr>
      <w:ind w:right="360"/>
    </w:pPr>
    <w:r>
      <w:rPr>
        <w:noProof/>
        <w:lang w:val="en-US"/>
      </w:rPr>
      <w:drawing>
        <wp:inline distT="0" distB="0" distL="0" distR="0" wp14:anchorId="0B8A7E3C" wp14:editId="5B19868F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0284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E806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124F3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04286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320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D5ED1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89C4E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5C65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983B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2E1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5F66B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57F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47CB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C49D6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7A4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08D8"/>
    <w:rsid w:val="003378F5"/>
    <w:rsid w:val="003444AA"/>
    <w:rsid w:val="00353D10"/>
    <w:rsid w:val="0035707B"/>
    <w:rsid w:val="0036035E"/>
    <w:rsid w:val="00371CF6"/>
    <w:rsid w:val="00374972"/>
    <w:rsid w:val="00374CAA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614B"/>
    <w:rsid w:val="004E7996"/>
    <w:rsid w:val="004E7BAC"/>
    <w:rsid w:val="004F1E85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201E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204"/>
    <w:rsid w:val="005A288A"/>
    <w:rsid w:val="005A35F2"/>
    <w:rsid w:val="005A44D0"/>
    <w:rsid w:val="005A6FCE"/>
    <w:rsid w:val="005B09BC"/>
    <w:rsid w:val="005B6502"/>
    <w:rsid w:val="005B65F2"/>
    <w:rsid w:val="005C24F8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71F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0B77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07C70"/>
    <w:rsid w:val="007129F1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92BEF"/>
    <w:rsid w:val="007960A5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03036"/>
    <w:rsid w:val="008108D6"/>
    <w:rsid w:val="00813409"/>
    <w:rsid w:val="008249B0"/>
    <w:rsid w:val="00825EE7"/>
    <w:rsid w:val="008270BB"/>
    <w:rsid w:val="008320AD"/>
    <w:rsid w:val="00834721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A60A6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56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A287F"/>
    <w:rsid w:val="009B1F6C"/>
    <w:rsid w:val="009B640B"/>
    <w:rsid w:val="009B6878"/>
    <w:rsid w:val="009C1FC5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0156"/>
    <w:rsid w:val="00AA3488"/>
    <w:rsid w:val="00AA39B7"/>
    <w:rsid w:val="00AA405E"/>
    <w:rsid w:val="00AA5998"/>
    <w:rsid w:val="00AB37AF"/>
    <w:rsid w:val="00AC6EFA"/>
    <w:rsid w:val="00AD5A46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3164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1E86"/>
    <w:rsid w:val="00C23D94"/>
    <w:rsid w:val="00C27FDE"/>
    <w:rsid w:val="00C32E7B"/>
    <w:rsid w:val="00C34035"/>
    <w:rsid w:val="00C360C9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07486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FEA"/>
    <w:rsid w:val="00D56183"/>
    <w:rsid w:val="00D56D91"/>
    <w:rsid w:val="00D61095"/>
    <w:rsid w:val="00D63729"/>
    <w:rsid w:val="00D7172C"/>
    <w:rsid w:val="00D73A74"/>
    <w:rsid w:val="00D77077"/>
    <w:rsid w:val="00D77DD0"/>
    <w:rsid w:val="00D818EF"/>
    <w:rsid w:val="00D82F21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3FD6"/>
    <w:rsid w:val="00E1447A"/>
    <w:rsid w:val="00E151F4"/>
    <w:rsid w:val="00E152AD"/>
    <w:rsid w:val="00E3752B"/>
    <w:rsid w:val="00E63D4E"/>
    <w:rsid w:val="00E654BD"/>
    <w:rsid w:val="00E6798F"/>
    <w:rsid w:val="00E70C1E"/>
    <w:rsid w:val="00E744EE"/>
    <w:rsid w:val="00E77DE9"/>
    <w:rsid w:val="00E855E6"/>
    <w:rsid w:val="00EA1575"/>
    <w:rsid w:val="00EA67AB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0904F8A5-3AEF-47A2-865A-20C33422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AD5A46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7CCB54-F568-4DF8-93BE-D83B70CC1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6</cp:revision>
  <cp:lastPrinted>2017-10-09T19:08:00Z</cp:lastPrinted>
  <dcterms:created xsi:type="dcterms:W3CDTF">2018-01-10T19:45:00Z</dcterms:created>
  <dcterms:modified xsi:type="dcterms:W3CDTF">2018-01-17T20:28:00Z</dcterms:modified>
</cp:coreProperties>
</file>