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EED36B" w14:textId="77777777" w:rsidR="005C5973" w:rsidRDefault="005C5973" w:rsidP="005C5973">
      <w:pPr>
        <w:pStyle w:val="00cabeos"/>
      </w:pPr>
      <w:r>
        <w:t>PROPOSTA DE ACOMPANHAMENTO DA APRENDIZAGEM</w:t>
      </w:r>
    </w:p>
    <w:p w14:paraId="34316B37" w14:textId="77777777" w:rsidR="005C5973" w:rsidRDefault="005C5973" w:rsidP="005C5973">
      <w:pPr>
        <w:pStyle w:val="00cabeos"/>
      </w:pPr>
    </w:p>
    <w:p w14:paraId="66EAF16C" w14:textId="77777777" w:rsidR="005C5973" w:rsidRPr="001615F9" w:rsidRDefault="005C5973" w:rsidP="005C5973">
      <w:pPr>
        <w:pStyle w:val="00cabeos"/>
        <w:rPr>
          <w:color w:val="auto"/>
        </w:rPr>
      </w:pPr>
      <w:r w:rsidRPr="001615F9">
        <w:rPr>
          <w:color w:val="auto"/>
        </w:rPr>
        <w:t>ficha de acompanhamento das aprendizagens</w:t>
      </w:r>
    </w:p>
    <w:p w14:paraId="5E3CB145" w14:textId="77777777" w:rsidR="005C5973" w:rsidRPr="00925247" w:rsidRDefault="005C5973" w:rsidP="005C5973">
      <w:pPr>
        <w:spacing w:after="0"/>
      </w:pPr>
    </w:p>
    <w:tbl>
      <w:tblPr>
        <w:tblStyle w:val="atencao"/>
        <w:tblW w:w="5000" w:type="pct"/>
        <w:tblLook w:val="04A0" w:firstRow="1" w:lastRow="0" w:firstColumn="1" w:lastColumn="0" w:noHBand="0" w:noVBand="1"/>
      </w:tblPr>
      <w:tblGrid>
        <w:gridCol w:w="3019"/>
        <w:gridCol w:w="3021"/>
        <w:gridCol w:w="1196"/>
        <w:gridCol w:w="1196"/>
        <w:gridCol w:w="1196"/>
      </w:tblGrid>
      <w:tr w:rsidR="005C5973" w:rsidRPr="00925247" w14:paraId="4579BB93" w14:textId="77777777" w:rsidTr="00071D86">
        <w:trPr>
          <w:trHeight w:val="342"/>
        </w:trPr>
        <w:tc>
          <w:tcPr>
            <w:tcW w:w="5000" w:type="pct"/>
            <w:gridSpan w:val="5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596999A1" w14:textId="77777777" w:rsidR="005C5973" w:rsidRPr="00925247" w:rsidRDefault="005C5973" w:rsidP="00071D86">
            <w:pPr>
              <w:pStyle w:val="SemEspaamento"/>
              <w:spacing w:before="240" w:after="120" w:line="360" w:lineRule="auto"/>
              <w:rPr>
                <w:rFonts w:cs="Tahoma"/>
                <w:b/>
                <w:bCs/>
                <w:i w:val="0"/>
                <w:iCs w:val="0"/>
                <w:color w:val="000000"/>
                <w:lang w:val="pt-BR"/>
              </w:rPr>
            </w:pPr>
            <w:r w:rsidRPr="00925247">
              <w:rPr>
                <w:rFonts w:cs="Tahoma"/>
                <w:b/>
                <w:bCs/>
                <w:i w:val="0"/>
                <w:iCs w:val="0"/>
                <w:color w:val="000000"/>
                <w:lang w:val="pt-BR"/>
              </w:rPr>
              <w:t>NOME: ______________________________________________________________</w:t>
            </w:r>
          </w:p>
          <w:p w14:paraId="43378F1A" w14:textId="77777777" w:rsidR="005C5973" w:rsidRPr="00925247" w:rsidRDefault="005C5973" w:rsidP="00071D86">
            <w:pPr>
              <w:pStyle w:val="SemEspaamento"/>
              <w:spacing w:before="240" w:after="120" w:line="360" w:lineRule="auto"/>
              <w:rPr>
                <w:rFonts w:cs="Tahoma"/>
                <w:i w:val="0"/>
                <w:iCs w:val="0"/>
                <w:color w:val="000000"/>
                <w:lang w:val="pt-BR"/>
              </w:rPr>
            </w:pPr>
            <w:r w:rsidRPr="00925247">
              <w:rPr>
                <w:rFonts w:cs="Tahoma"/>
                <w:b/>
                <w:bCs/>
                <w:i w:val="0"/>
                <w:iCs w:val="0"/>
                <w:color w:val="000000"/>
                <w:lang w:val="pt-BR"/>
              </w:rPr>
              <w:t>TURMA: _________________________________ DATA: ______________________</w:t>
            </w:r>
            <w:r w:rsidRPr="00925247">
              <w:rPr>
                <w:rFonts w:cs="Tahoma"/>
                <w:i w:val="0"/>
                <w:iCs w:val="0"/>
                <w:color w:val="000000"/>
                <w:lang w:val="pt-BR"/>
              </w:rPr>
              <w:t xml:space="preserve"> </w:t>
            </w:r>
          </w:p>
        </w:tc>
      </w:tr>
      <w:tr w:rsidR="005C5973" w:rsidRPr="00925247" w14:paraId="4AF28D0D" w14:textId="77777777" w:rsidTr="00071D86">
        <w:trPr>
          <w:trHeight w:val="342"/>
        </w:trPr>
        <w:tc>
          <w:tcPr>
            <w:tcW w:w="1568" w:type="pct"/>
            <w:vMerge w:val="restar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6A1DDC27" w14:textId="77777777" w:rsidR="005C5973" w:rsidRPr="00925247" w:rsidRDefault="005C5973" w:rsidP="00071D86">
            <w:pPr>
              <w:jc w:val="center"/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b/>
                <w:bCs/>
                <w:color w:val="000000"/>
                <w:szCs w:val="20"/>
                <w:lang w:val="pt-BR"/>
              </w:rPr>
              <w:t>BNCC</w:t>
            </w:r>
          </w:p>
        </w:tc>
        <w:tc>
          <w:tcPr>
            <w:tcW w:w="1569" w:type="pct"/>
            <w:vMerge w:val="restar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1693B7A3" w14:textId="77777777" w:rsidR="005C5973" w:rsidRPr="00925247" w:rsidRDefault="005C5973" w:rsidP="00071D86">
            <w:pPr>
              <w:jc w:val="center"/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b/>
                <w:bCs/>
                <w:color w:val="000000"/>
                <w:szCs w:val="20"/>
                <w:lang w:val="pt-BR"/>
              </w:rPr>
              <w:t>Habilidade avaliada</w:t>
            </w:r>
          </w:p>
        </w:tc>
        <w:tc>
          <w:tcPr>
            <w:tcW w:w="1863" w:type="pct"/>
            <w:gridSpan w:val="3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3BF8982B" w14:textId="77777777" w:rsidR="005C5973" w:rsidRPr="00925247" w:rsidRDefault="005C5973" w:rsidP="00071D86">
            <w:pPr>
              <w:jc w:val="center"/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b/>
                <w:bCs/>
                <w:color w:val="000000"/>
                <w:szCs w:val="20"/>
                <w:lang w:val="pt-BR"/>
              </w:rPr>
              <w:t>Desempenho</w:t>
            </w:r>
          </w:p>
        </w:tc>
      </w:tr>
      <w:tr w:rsidR="005C5973" w:rsidRPr="00925247" w14:paraId="66FFD2B0" w14:textId="77777777" w:rsidTr="00071D86">
        <w:trPr>
          <w:trHeight w:val="244"/>
        </w:trPr>
        <w:tc>
          <w:tcPr>
            <w:tcW w:w="1568" w:type="pct"/>
            <w:vMerge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561A06FC" w14:textId="77777777" w:rsidR="005C5973" w:rsidRPr="00925247" w:rsidRDefault="005C5973" w:rsidP="00071D86">
            <w:pPr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</w:p>
        </w:tc>
        <w:tc>
          <w:tcPr>
            <w:tcW w:w="1569" w:type="pct"/>
            <w:vMerge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3F8AD487" w14:textId="77777777" w:rsidR="005C5973" w:rsidRPr="00925247" w:rsidRDefault="005C5973" w:rsidP="00071D86">
            <w:pPr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4C0816DC" w14:textId="77777777" w:rsidR="005C5973" w:rsidRPr="00925247" w:rsidRDefault="005C5973" w:rsidP="00071D86">
            <w:pPr>
              <w:jc w:val="center"/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b/>
                <w:bCs/>
                <w:color w:val="000000"/>
                <w:szCs w:val="20"/>
                <w:lang w:val="pt-BR"/>
              </w:rPr>
              <w:t xml:space="preserve">Sem domínio 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6D61CB43" w14:textId="77777777" w:rsidR="005C5973" w:rsidRPr="00925247" w:rsidRDefault="005C5973" w:rsidP="00071D86">
            <w:pPr>
              <w:jc w:val="center"/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b/>
                <w:bCs/>
                <w:color w:val="000000"/>
                <w:szCs w:val="20"/>
                <w:lang w:val="pt-BR"/>
              </w:rPr>
              <w:t>Domínio parcial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5BBFC545" w14:textId="77777777" w:rsidR="005C5973" w:rsidRPr="00925247" w:rsidRDefault="005C5973" w:rsidP="00071D86">
            <w:pPr>
              <w:jc w:val="center"/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b/>
                <w:bCs/>
                <w:color w:val="000000"/>
                <w:szCs w:val="20"/>
                <w:lang w:val="pt-BR"/>
              </w:rPr>
              <w:t xml:space="preserve">Com domínio </w:t>
            </w:r>
          </w:p>
        </w:tc>
      </w:tr>
      <w:tr w:rsidR="005C5973" w:rsidRPr="00925247" w14:paraId="5B55EAB4" w14:textId="77777777" w:rsidTr="00071D86">
        <w:trPr>
          <w:trHeight w:val="20"/>
        </w:trPr>
        <w:tc>
          <w:tcPr>
            <w:tcW w:w="156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7F4295FB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szCs w:val="20"/>
                <w:lang w:val="pt-BR"/>
              </w:rPr>
              <w:t>(EF05MA07) Resolver e elaborar problemas de adição e subtração com números naturais e com números racionais, cuja representação decimal seja finita, utilizando estratégias diversas, como cálculo por estimativa, cálculo mental e algoritmos.</w:t>
            </w:r>
          </w:p>
        </w:tc>
        <w:tc>
          <w:tcPr>
            <w:tcW w:w="156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3880BB8A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szCs w:val="20"/>
                <w:lang w:val="pt-BR"/>
              </w:rPr>
              <w:t>Resolver problemas de adição e subtração com números racionais.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DA772A0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BE547A1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5F9CDB9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C5973" w:rsidRPr="00925247" w14:paraId="602DF0C2" w14:textId="77777777" w:rsidTr="00071D86">
        <w:trPr>
          <w:trHeight w:val="20"/>
        </w:trPr>
        <w:tc>
          <w:tcPr>
            <w:tcW w:w="156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0A19D396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szCs w:val="20"/>
                <w:lang w:val="pt-BR"/>
              </w:rPr>
              <w:t>(EF05MA09) Resolver e elaborar problemas simples de contagem envolvendo o princípio multiplicativo, como a determinação do número de agrupamentos possíveis ao se combinar cada elemento de uma coleção com todos os elementos de outra coleção, por meio de diagramas de árvore ou por tabelas.</w:t>
            </w:r>
          </w:p>
        </w:tc>
        <w:tc>
          <w:tcPr>
            <w:tcW w:w="156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1BD6CCF4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szCs w:val="20"/>
                <w:lang w:val="pt-BR"/>
              </w:rPr>
              <w:t>Resolver problemas simples de contagem envolvendo o princípio multiplicativo.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A816D9B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256994A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F439EBF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C5973" w:rsidRPr="00925247" w14:paraId="502CDBF5" w14:textId="77777777" w:rsidTr="00071D86">
        <w:trPr>
          <w:trHeight w:val="20"/>
        </w:trPr>
        <w:tc>
          <w:tcPr>
            <w:tcW w:w="156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5D7A278E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szCs w:val="20"/>
                <w:lang w:val="pt-BR"/>
              </w:rPr>
              <w:t>(EF05MA10) Concluir, por meio de investigações, que uma igualdade não se altera ao adicionar, subtrair, multiplicar ou dividir seus dois membros por um mesmo número, para construir a noção de equivalência.</w:t>
            </w:r>
          </w:p>
        </w:tc>
        <w:tc>
          <w:tcPr>
            <w:tcW w:w="156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324C4DB3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szCs w:val="20"/>
                <w:lang w:val="pt-BR"/>
              </w:rPr>
              <w:t>Concluir que uma igualdade não se altera ao adicionar, subtrair, multiplicar ou dividir seus dois membros por um mesmo número, para construir a noção de equivalência.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44DA112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1290F99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F48352D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C5973" w:rsidRPr="00925247" w14:paraId="509B03A6" w14:textId="77777777" w:rsidTr="00071D86">
        <w:trPr>
          <w:trHeight w:val="20"/>
        </w:trPr>
        <w:tc>
          <w:tcPr>
            <w:tcW w:w="156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63FF3353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  <w:r>
              <w:br w:type="page"/>
            </w:r>
            <w:r w:rsidRPr="00925247">
              <w:rPr>
                <w:rFonts w:cs="Tahoma"/>
                <w:szCs w:val="20"/>
                <w:lang w:val="pt-BR"/>
              </w:rPr>
              <w:t>(EF05MA11) Resolver e elaborar problemas cuja conversão em sentença matemática seja uma igualdade com uma operação em que um dos termos é desconhecido</w:t>
            </w:r>
            <w:r>
              <w:rPr>
                <w:rFonts w:cs="Tahoma"/>
                <w:szCs w:val="20"/>
                <w:lang w:val="pt-BR"/>
              </w:rPr>
              <w:t>.</w:t>
            </w:r>
          </w:p>
        </w:tc>
        <w:tc>
          <w:tcPr>
            <w:tcW w:w="156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5060D184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szCs w:val="20"/>
                <w:lang w:val="pt-BR"/>
              </w:rPr>
              <w:t>Resolver problemas e convertê-lo</w:t>
            </w:r>
            <w:r>
              <w:rPr>
                <w:rFonts w:cs="Tahoma"/>
                <w:szCs w:val="20"/>
                <w:lang w:val="pt-BR"/>
              </w:rPr>
              <w:t>s</w:t>
            </w:r>
            <w:r w:rsidRPr="00925247">
              <w:rPr>
                <w:rFonts w:cs="Tahoma"/>
                <w:szCs w:val="20"/>
                <w:lang w:val="pt-BR"/>
              </w:rPr>
              <w:t xml:space="preserve"> em sentenças matemáticas.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D52910B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3930F8A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BC7F1FB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65E7CC7F" w14:textId="77777777" w:rsidR="005C5973" w:rsidRDefault="005C5973" w:rsidP="005C5973">
      <w:pPr>
        <w:jc w:val="right"/>
      </w:pPr>
      <w:r w:rsidRPr="00925247">
        <w:t>Continua</w:t>
      </w:r>
    </w:p>
    <w:p w14:paraId="089D1223" w14:textId="77777777" w:rsidR="005C5973" w:rsidRDefault="005C5973" w:rsidP="005C5973">
      <w:r>
        <w:br w:type="page"/>
      </w:r>
    </w:p>
    <w:p w14:paraId="0CCD6EB5" w14:textId="77777777" w:rsidR="005C5973" w:rsidRDefault="005C5973" w:rsidP="005C5973">
      <w:r w:rsidRPr="00925247">
        <w:lastRenderedPageBreak/>
        <w:t>Continuação</w:t>
      </w:r>
      <w:r>
        <w:t xml:space="preserve"> </w:t>
      </w:r>
    </w:p>
    <w:tbl>
      <w:tblPr>
        <w:tblStyle w:val="atencao"/>
        <w:tblW w:w="5000" w:type="pct"/>
        <w:tblLook w:val="04A0" w:firstRow="1" w:lastRow="0" w:firstColumn="1" w:lastColumn="0" w:noHBand="0" w:noVBand="1"/>
      </w:tblPr>
      <w:tblGrid>
        <w:gridCol w:w="3019"/>
        <w:gridCol w:w="3021"/>
        <w:gridCol w:w="1196"/>
        <w:gridCol w:w="1196"/>
        <w:gridCol w:w="1196"/>
      </w:tblGrid>
      <w:tr w:rsidR="005C5973" w:rsidRPr="00925247" w14:paraId="67ACBD19" w14:textId="77777777" w:rsidTr="00071D86">
        <w:trPr>
          <w:trHeight w:val="20"/>
        </w:trPr>
        <w:tc>
          <w:tcPr>
            <w:tcW w:w="156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401CCCC0" w14:textId="77777777" w:rsidR="005C5973" w:rsidRPr="00925247" w:rsidRDefault="005C5973" w:rsidP="00071D86">
            <w:pPr>
              <w:rPr>
                <w:rFonts w:cs="Tahoma"/>
                <w:szCs w:val="20"/>
                <w:lang w:val="pt-BR"/>
              </w:rPr>
            </w:pPr>
            <w:r w:rsidRPr="00925247">
              <w:rPr>
                <w:rFonts w:cs="Tahoma"/>
                <w:szCs w:val="20"/>
                <w:lang w:val="pt-BR"/>
              </w:rPr>
              <w:t>(EF05MA12) Resolver problemas que envolvam variação de proporcionalidade direta entre duas grandezas, para associar a quantidade de um produto ao valor a pagar, alterar as quantidades de ingredientes de receitas, ampliar ou reduzir escala em mapas, entre outros.</w:t>
            </w:r>
          </w:p>
        </w:tc>
        <w:tc>
          <w:tcPr>
            <w:tcW w:w="156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2BE7C807" w14:textId="77777777" w:rsidR="005C5973" w:rsidRPr="00925247" w:rsidRDefault="005C5973" w:rsidP="00071D86">
            <w:pPr>
              <w:rPr>
                <w:rFonts w:cs="Tahoma"/>
                <w:szCs w:val="20"/>
                <w:lang w:val="pt-BR"/>
              </w:rPr>
            </w:pPr>
            <w:r w:rsidRPr="00925247">
              <w:rPr>
                <w:rFonts w:cs="Tahoma"/>
                <w:szCs w:val="20"/>
                <w:lang w:val="pt-BR"/>
              </w:rPr>
              <w:t>Resolver problemas que envolvam variação de proporcionalidade direta entre duas grandezas.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5F18C0E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E96FB48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132DF49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C5973" w:rsidRPr="00925247" w14:paraId="5EC2F4B6" w14:textId="77777777" w:rsidTr="00071D86">
        <w:trPr>
          <w:trHeight w:val="20"/>
        </w:trPr>
        <w:tc>
          <w:tcPr>
            <w:tcW w:w="156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68DF5028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szCs w:val="20"/>
                <w:lang w:val="pt-BR"/>
              </w:rPr>
              <w:t>(EF05MA13) Resolver problemas envolvendo a partilha de uma quantidade em duas partes desiguais, tais como dividir uma quantidade em duas partes, de modo que uma seja o dobro da outra, com compreensão da ideia de razão entre as partes e delas com o todo.</w:t>
            </w:r>
          </w:p>
        </w:tc>
        <w:tc>
          <w:tcPr>
            <w:tcW w:w="156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5A12F3D5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szCs w:val="20"/>
                <w:lang w:val="pt-BR"/>
              </w:rPr>
              <w:t>Resolver problemas envolvendo a partilha de uma quantidade em duas partes desiguais.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4212266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6316BBD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0FEEC7A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C5973" w:rsidRPr="00925247" w14:paraId="16A79926" w14:textId="77777777" w:rsidTr="00071D86">
        <w:trPr>
          <w:trHeight w:val="724"/>
        </w:trPr>
        <w:tc>
          <w:tcPr>
            <w:tcW w:w="1568" w:type="pct"/>
            <w:tcBorders>
              <w:top w:val="single" w:sz="4" w:space="0" w:color="0068A7"/>
              <w:left w:val="single" w:sz="4" w:space="0" w:color="0068A7"/>
              <w:right w:val="single" w:sz="4" w:space="0" w:color="0068A7"/>
            </w:tcBorders>
            <w:vAlign w:val="top"/>
          </w:tcPr>
          <w:p w14:paraId="7832D5A3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szCs w:val="20"/>
                <w:lang w:val="pt-BR"/>
              </w:rPr>
              <w:t>(EF05MA16) Associar figuras espaciais a suas planificações (prismas, pirâmides, cilindros e cones) e analisar, nomear e comparar seus atributos.</w:t>
            </w:r>
          </w:p>
        </w:tc>
        <w:tc>
          <w:tcPr>
            <w:tcW w:w="156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513AC127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szCs w:val="20"/>
                <w:lang w:val="pt-BR"/>
              </w:rPr>
              <w:t>Associar a pirâmide a sua planificação e analisar seus atributos.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610E795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19126FA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8913B96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C5973" w:rsidRPr="00925247" w14:paraId="5523F8DC" w14:textId="77777777" w:rsidTr="00071D86">
        <w:trPr>
          <w:trHeight w:val="966"/>
        </w:trPr>
        <w:tc>
          <w:tcPr>
            <w:tcW w:w="1568" w:type="pct"/>
            <w:vMerge w:val="restart"/>
            <w:tcBorders>
              <w:top w:val="single" w:sz="4" w:space="0" w:color="0068A7"/>
              <w:left w:val="single" w:sz="4" w:space="0" w:color="0068A7"/>
              <w:right w:val="single" w:sz="4" w:space="0" w:color="0068A7"/>
            </w:tcBorders>
            <w:vAlign w:val="top"/>
          </w:tcPr>
          <w:p w14:paraId="2F0122AC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  <w:bookmarkStart w:id="0" w:name="_GoBack"/>
            <w:bookmarkEnd w:id="0"/>
            <w:r w:rsidRPr="00925247">
              <w:rPr>
                <w:rFonts w:cs="Tahoma"/>
                <w:szCs w:val="20"/>
                <w:lang w:val="pt-BR"/>
              </w:rPr>
              <w:t>(EF05MA17) Reconhecer, nomear e comparar polígonos, considerando lados, vértices e ângulos, e desenhá-los, utilizando material de desenho ou tecnologias digitais.</w:t>
            </w:r>
          </w:p>
        </w:tc>
        <w:tc>
          <w:tcPr>
            <w:tcW w:w="156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599BF4B4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szCs w:val="20"/>
                <w:lang w:val="pt-BR"/>
              </w:rPr>
              <w:t>Reconhecer, nomear e comparar polígonos, considerando lados, vértices e ângulos.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F077D86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D67593D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0D77804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C5973" w:rsidRPr="00925247" w14:paraId="218B6C93" w14:textId="77777777" w:rsidTr="00071D86">
        <w:trPr>
          <w:trHeight w:val="966"/>
        </w:trPr>
        <w:tc>
          <w:tcPr>
            <w:tcW w:w="1568" w:type="pct"/>
            <w:vMerge/>
            <w:tcBorders>
              <w:left w:val="single" w:sz="4" w:space="0" w:color="0068A7"/>
              <w:right w:val="single" w:sz="4" w:space="0" w:color="0068A7"/>
            </w:tcBorders>
            <w:vAlign w:val="top"/>
          </w:tcPr>
          <w:p w14:paraId="600EEDBB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56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37C308A9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szCs w:val="20"/>
                <w:lang w:val="pt-BR"/>
              </w:rPr>
              <w:t>Reconhecer</w:t>
            </w:r>
            <w:r>
              <w:rPr>
                <w:rFonts w:cs="Tahoma"/>
                <w:szCs w:val="20"/>
                <w:lang w:val="pt-BR"/>
              </w:rPr>
              <w:t xml:space="preserve"> e</w:t>
            </w:r>
            <w:r w:rsidRPr="00925247">
              <w:rPr>
                <w:rFonts w:cs="Tahoma"/>
                <w:szCs w:val="20"/>
                <w:lang w:val="pt-BR"/>
              </w:rPr>
              <w:t xml:space="preserve"> nomear triângulos considerando a medida dos lados.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02FFA2F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B9DBF27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DBB3274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C5973" w:rsidRPr="00925247" w14:paraId="7567B571" w14:textId="77777777" w:rsidTr="00071D86">
        <w:trPr>
          <w:trHeight w:val="511"/>
        </w:trPr>
        <w:tc>
          <w:tcPr>
            <w:tcW w:w="1568" w:type="pct"/>
            <w:vMerge/>
            <w:tcBorders>
              <w:left w:val="single" w:sz="4" w:space="0" w:color="0068A7"/>
              <w:right w:val="single" w:sz="4" w:space="0" w:color="0068A7"/>
            </w:tcBorders>
            <w:vAlign w:val="top"/>
          </w:tcPr>
          <w:p w14:paraId="7CD11479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56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7C0B5453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szCs w:val="20"/>
                <w:lang w:val="pt-BR"/>
              </w:rPr>
              <w:t>Identificar ângulos retos.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9AEE36B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5577609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757FBE8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C5973" w:rsidRPr="00925247" w14:paraId="5E5EBE33" w14:textId="77777777" w:rsidTr="00071D86">
        <w:trPr>
          <w:trHeight w:val="966"/>
        </w:trPr>
        <w:tc>
          <w:tcPr>
            <w:tcW w:w="1568" w:type="pct"/>
            <w:tcBorders>
              <w:left w:val="single" w:sz="4" w:space="0" w:color="0068A7"/>
              <w:right w:val="single" w:sz="4" w:space="0" w:color="0068A7"/>
            </w:tcBorders>
            <w:vAlign w:val="top"/>
          </w:tcPr>
          <w:p w14:paraId="26A898CD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szCs w:val="20"/>
                <w:lang w:val="pt-BR"/>
              </w:rPr>
              <w:t>(EF05MA18) Reconhecer a congruência dos ângulos e a proporcionalidade entre os lados correspondentes de figuras poligonais em situações de ampliação e de redução em malhas quadriculadas e usando tecnologias digitais.</w:t>
            </w:r>
          </w:p>
        </w:tc>
        <w:tc>
          <w:tcPr>
            <w:tcW w:w="156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2CFAC7EA" w14:textId="77777777" w:rsidR="005C5973" w:rsidRPr="00925247" w:rsidRDefault="005C5973" w:rsidP="00071D86">
            <w:pPr>
              <w:rPr>
                <w:rFonts w:cs="Tahoma"/>
                <w:szCs w:val="20"/>
                <w:lang w:val="pt-BR"/>
              </w:rPr>
            </w:pPr>
            <w:r w:rsidRPr="00925247">
              <w:rPr>
                <w:rFonts w:cs="Tahoma"/>
                <w:szCs w:val="20"/>
                <w:lang w:val="pt-BR"/>
              </w:rPr>
              <w:t>Reconhecer a proporcionalidade entre os lados correspondentes de figuras poligonais em situações de ampliação e de redução em malhas quadriculadas.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BD434E0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6FD3930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B87A8AD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73B3A40F" w14:textId="77777777" w:rsidR="005C5973" w:rsidRDefault="005C5973" w:rsidP="005C5973">
      <w:pPr>
        <w:jc w:val="right"/>
      </w:pPr>
      <w:r w:rsidRPr="00925247">
        <w:t>Continua</w:t>
      </w:r>
    </w:p>
    <w:p w14:paraId="4DA9C51D" w14:textId="77777777" w:rsidR="005C5973" w:rsidRDefault="005C5973" w:rsidP="005C5973">
      <w:r>
        <w:br w:type="page"/>
      </w:r>
    </w:p>
    <w:p w14:paraId="04FBD882" w14:textId="77777777" w:rsidR="005C5973" w:rsidRDefault="005C5973" w:rsidP="005C5973">
      <w:r w:rsidRPr="00925247">
        <w:lastRenderedPageBreak/>
        <w:t>Continuação</w:t>
      </w:r>
      <w:r>
        <w:t xml:space="preserve"> </w:t>
      </w:r>
    </w:p>
    <w:tbl>
      <w:tblPr>
        <w:tblStyle w:val="atencao"/>
        <w:tblW w:w="5000" w:type="pct"/>
        <w:tblLook w:val="04A0" w:firstRow="1" w:lastRow="0" w:firstColumn="1" w:lastColumn="0" w:noHBand="0" w:noVBand="1"/>
      </w:tblPr>
      <w:tblGrid>
        <w:gridCol w:w="3019"/>
        <w:gridCol w:w="3021"/>
        <w:gridCol w:w="1198"/>
        <w:gridCol w:w="1196"/>
        <w:gridCol w:w="1194"/>
      </w:tblGrid>
      <w:tr w:rsidR="005C5973" w:rsidRPr="00925247" w14:paraId="4CE2C82D" w14:textId="77777777" w:rsidTr="00071D86">
        <w:trPr>
          <w:trHeight w:val="966"/>
        </w:trPr>
        <w:tc>
          <w:tcPr>
            <w:tcW w:w="1568" w:type="pct"/>
            <w:tcBorders>
              <w:left w:val="single" w:sz="4" w:space="0" w:color="0068A7"/>
              <w:right w:val="single" w:sz="4" w:space="0" w:color="0068A7"/>
            </w:tcBorders>
            <w:vAlign w:val="top"/>
          </w:tcPr>
          <w:p w14:paraId="4CADA714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25247">
              <w:rPr>
                <w:rFonts w:cs="Tahoma"/>
                <w:szCs w:val="20"/>
                <w:lang w:val="pt-BR"/>
              </w:rPr>
              <w:t>(EF05MA25) Realizar pesquisa envolvendo variáveis categóricas e numéricas, organizar dados coletados por meio de tabelas, gráficos de colunas, pictóricos e de linhas, com e sem uso de tecnologias digitais, e apresentar texto escrito sobre a finalidade da pesquisa e a síntese dos resultados.</w:t>
            </w:r>
          </w:p>
        </w:tc>
        <w:tc>
          <w:tcPr>
            <w:tcW w:w="156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3CEF786B" w14:textId="77777777" w:rsidR="005C5973" w:rsidRPr="00925247" w:rsidRDefault="005C5973" w:rsidP="00071D86">
            <w:pPr>
              <w:rPr>
                <w:rFonts w:cs="Tahoma"/>
                <w:szCs w:val="20"/>
                <w:lang w:val="pt-BR"/>
              </w:rPr>
            </w:pPr>
            <w:r w:rsidRPr="00925247">
              <w:rPr>
                <w:rFonts w:cs="Tahoma"/>
                <w:szCs w:val="20"/>
                <w:lang w:val="pt-BR"/>
              </w:rPr>
              <w:t>Organizar dados coletados em gráficos de colunas duplas.</w:t>
            </w:r>
          </w:p>
        </w:tc>
        <w:tc>
          <w:tcPr>
            <w:tcW w:w="622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9EB65A8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6A7AE21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9D0087F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C5973" w:rsidRPr="00925247" w14:paraId="0FFA43B3" w14:textId="77777777" w:rsidTr="00071D86">
        <w:trPr>
          <w:trHeight w:val="397"/>
        </w:trPr>
        <w:tc>
          <w:tcPr>
            <w:tcW w:w="3137" w:type="pct"/>
            <w:gridSpan w:val="2"/>
            <w:tcBorders>
              <w:left w:val="single" w:sz="4" w:space="0" w:color="0068A7"/>
              <w:right w:val="single" w:sz="4" w:space="0" w:color="0068A7"/>
            </w:tcBorders>
          </w:tcPr>
          <w:p w14:paraId="33265099" w14:textId="77777777" w:rsidR="005C5973" w:rsidRPr="00925247" w:rsidRDefault="005C5973" w:rsidP="00071D86">
            <w:pPr>
              <w:jc w:val="center"/>
              <w:rPr>
                <w:rFonts w:cs="Tahoma"/>
                <w:color w:val="000000"/>
                <w:szCs w:val="20"/>
              </w:rPr>
            </w:pPr>
            <w:r w:rsidRPr="00925247">
              <w:rPr>
                <w:rFonts w:cs="Tahoma"/>
                <w:b/>
                <w:bCs/>
                <w:color w:val="000000"/>
                <w:szCs w:val="20"/>
                <w:lang w:val="pt-BR"/>
              </w:rPr>
              <w:t>Nota/conceito</w:t>
            </w:r>
          </w:p>
        </w:tc>
        <w:tc>
          <w:tcPr>
            <w:tcW w:w="622" w:type="pct"/>
            <w:tcBorders>
              <w:left w:val="single" w:sz="4" w:space="0" w:color="0068A7"/>
              <w:right w:val="single" w:sz="4" w:space="0" w:color="0068A7"/>
            </w:tcBorders>
          </w:tcPr>
          <w:p w14:paraId="5FEEC6C9" w14:textId="77777777" w:rsidR="005C5973" w:rsidRPr="00925247" w:rsidRDefault="005C5973" w:rsidP="00071D86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64CF89D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31EA98F2" w14:textId="77777777" w:rsidR="005C5973" w:rsidRPr="00925247" w:rsidRDefault="005C5973" w:rsidP="00071D86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0F03DDF5" w14:textId="77777777" w:rsidR="005C5973" w:rsidRDefault="005C5973" w:rsidP="005C5973"/>
    <w:sectPr w:rsidR="005C5973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1043AB" w14:textId="77777777" w:rsidR="00456891" w:rsidRDefault="00456891" w:rsidP="00713DA3">
      <w:pPr>
        <w:spacing w:after="0"/>
      </w:pPr>
      <w:r>
        <w:separator/>
      </w:r>
    </w:p>
  </w:endnote>
  <w:endnote w:type="continuationSeparator" w:id="0">
    <w:p w14:paraId="7B40ABD7" w14:textId="77777777" w:rsidR="00456891" w:rsidRDefault="00456891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B5B91438-C46A-4FF7-B412-94921F9512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4367CD5-37EB-4151-9CAD-092E2A2F9BFE}"/>
    <w:embedBold r:id="rId3" w:fontKey="{A483C8EC-8B4C-4C63-89FF-D65E66EC94DF}"/>
    <w:embedItalic r:id="rId4" w:fontKey="{8DE0FCC4-80DD-4D56-A7C2-5AEBD311A048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fontKey="{1CBCB61E-DFE8-453F-962B-0A00E58C533C}"/>
  </w:font>
  <w:font w:name="Cambria-Bold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B8FC9" w14:textId="4C6700F2" w:rsidR="00C944EC" w:rsidRDefault="00C944EC" w:rsidP="00C944E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A7732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F3FCC6D" w14:textId="3113296A" w:rsidR="008421B1" w:rsidRPr="00C944EC" w:rsidRDefault="00C944EC" w:rsidP="005B385D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FEA1B" w14:textId="77777777" w:rsidR="00456891" w:rsidRDefault="00456891" w:rsidP="00713DA3">
      <w:pPr>
        <w:spacing w:after="0"/>
      </w:pPr>
      <w:r>
        <w:separator/>
      </w:r>
    </w:p>
  </w:footnote>
  <w:footnote w:type="continuationSeparator" w:id="0">
    <w:p w14:paraId="09217BD1" w14:textId="77777777" w:rsidR="00456891" w:rsidRDefault="00456891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5E87EA9D" w:rsidR="008421B1" w:rsidRDefault="00AA4A85" w:rsidP="008744CE">
    <w:pPr>
      <w:pStyle w:val="Cabealho"/>
    </w:pPr>
    <w:r>
      <w:rPr>
        <w:noProof/>
        <w:lang w:eastAsia="pt-BR"/>
      </w:rPr>
      <w:drawing>
        <wp:inline distT="0" distB="0" distL="0" distR="0" wp14:anchorId="1F407070" wp14:editId="062645A5">
          <wp:extent cx="5940000" cy="296475"/>
          <wp:effectExtent l="0" t="0" r="0" b="8890"/>
          <wp:docPr id="12" name="Imagem 12" descr="TARJA_PBA5_MD_2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ARJA_PBA5_MD_2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6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02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46C4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06DF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9546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067A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891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467A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5511F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385D"/>
    <w:rsid w:val="005B422B"/>
    <w:rsid w:val="005B5A15"/>
    <w:rsid w:val="005C42CA"/>
    <w:rsid w:val="005C5973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47B03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4DC"/>
    <w:rsid w:val="00746669"/>
    <w:rsid w:val="00746B2B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0C94"/>
    <w:rsid w:val="007A4799"/>
    <w:rsid w:val="007A7401"/>
    <w:rsid w:val="007B430B"/>
    <w:rsid w:val="007B50A8"/>
    <w:rsid w:val="007B5103"/>
    <w:rsid w:val="007B60A5"/>
    <w:rsid w:val="007C1EB9"/>
    <w:rsid w:val="007C31C9"/>
    <w:rsid w:val="007C3EAD"/>
    <w:rsid w:val="007C5B19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5E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25247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2A4A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0765F"/>
    <w:rsid w:val="00A101E8"/>
    <w:rsid w:val="00A1490A"/>
    <w:rsid w:val="00A15076"/>
    <w:rsid w:val="00A15359"/>
    <w:rsid w:val="00A15B89"/>
    <w:rsid w:val="00A21CB8"/>
    <w:rsid w:val="00A22257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4A85"/>
    <w:rsid w:val="00AA5F89"/>
    <w:rsid w:val="00AA60FB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01D3D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87A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944EC"/>
    <w:rsid w:val="00CA3231"/>
    <w:rsid w:val="00CA4E5C"/>
    <w:rsid w:val="00CA7732"/>
    <w:rsid w:val="00CB5D48"/>
    <w:rsid w:val="00CC096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41FF0"/>
    <w:rsid w:val="00F50A68"/>
    <w:rsid w:val="00F51898"/>
    <w:rsid w:val="00F578B9"/>
    <w:rsid w:val="00F6027B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5B385D"/>
    <w:pPr>
      <w:spacing w:after="0"/>
      <w:jc w:val="both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29546F"/>
  </w:style>
  <w:style w:type="table" w:customStyle="1" w:styleId="Estilo1">
    <w:name w:val="Estilo1"/>
    <w:basedOn w:val="Tabelanormal"/>
    <w:uiPriority w:val="99"/>
    <w:rsid w:val="00CC0968"/>
    <w:pPr>
      <w:spacing w:after="0"/>
    </w:pPr>
    <w:rPr>
      <w:rFonts w:ascii="Tahoma" w:hAnsi="Tahoma"/>
      <w:sz w:val="20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25247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252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10433-746F-4CDA-8EA8-59FB0E444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568</Words>
  <Characters>3069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22</cp:revision>
  <cp:lastPrinted>2017-10-17T11:21:00Z</cp:lastPrinted>
  <dcterms:created xsi:type="dcterms:W3CDTF">2017-11-14T02:22:00Z</dcterms:created>
  <dcterms:modified xsi:type="dcterms:W3CDTF">2018-02-03T19:25:00Z</dcterms:modified>
</cp:coreProperties>
</file>