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BD7BA" w14:textId="77777777" w:rsidR="00A5501A" w:rsidRDefault="00A5501A" w:rsidP="00A5501A">
      <w:pPr>
        <w:pStyle w:val="00cabeos"/>
      </w:pPr>
      <w:r>
        <w:t>PROPOSTA DE ACOMPANHAMENTO DA APRENDIZAGEM</w:t>
      </w:r>
    </w:p>
    <w:p w14:paraId="794FB2FD" w14:textId="77777777" w:rsidR="00A5501A" w:rsidRPr="006D438D" w:rsidRDefault="00A5501A" w:rsidP="00A5501A"/>
    <w:p w14:paraId="01928B80" w14:textId="77777777" w:rsidR="00A5501A" w:rsidRDefault="00A5501A" w:rsidP="00A5501A">
      <w:pPr>
        <w:pStyle w:val="00Peso1"/>
        <w:spacing w:afterLines="57" w:after="136" w:line="250" w:lineRule="atLeast"/>
        <w:contextualSpacing/>
        <w:mirrorIndents/>
      </w:pPr>
      <w:r w:rsidRPr="006D438D">
        <w:t xml:space="preserve">ficha de </w:t>
      </w:r>
      <w:r w:rsidRPr="004554CE">
        <w:rPr>
          <w:rFonts w:ascii="Cambria" w:hAnsi="Cambria"/>
        </w:rPr>
        <w:t>acompanhamento</w:t>
      </w:r>
      <w:r w:rsidRPr="006D438D">
        <w:t xml:space="preserve"> das aprendizagens</w:t>
      </w:r>
    </w:p>
    <w:p w14:paraId="6DFE5D14" w14:textId="77777777" w:rsidR="00A5501A" w:rsidRPr="004C1F1F" w:rsidRDefault="00A5501A" w:rsidP="00A5501A">
      <w:pPr>
        <w:rPr>
          <w:rFonts w:ascii="Tahoma" w:eastAsiaTheme="minorEastAsia" w:hAnsi="Tahoma" w:cs="Tahoma"/>
          <w:b/>
          <w:bCs/>
          <w:sz w:val="20"/>
          <w:szCs w:val="20"/>
          <w:lang w:eastAsia="es-ES"/>
        </w:rPr>
      </w:pPr>
    </w:p>
    <w:tbl>
      <w:tblPr>
        <w:tblStyle w:val="atencao"/>
        <w:tblW w:w="4913" w:type="pct"/>
        <w:tblLayout w:type="fixed"/>
        <w:tblLook w:val="04A0" w:firstRow="1" w:lastRow="0" w:firstColumn="1" w:lastColumn="0" w:noHBand="0" w:noVBand="1"/>
      </w:tblPr>
      <w:tblGrid>
        <w:gridCol w:w="3628"/>
        <w:gridCol w:w="2721"/>
        <w:gridCol w:w="1077"/>
        <w:gridCol w:w="1077"/>
        <w:gridCol w:w="1079"/>
      </w:tblGrid>
      <w:tr w:rsidR="00A5501A" w:rsidRPr="00E465F8" w14:paraId="3430D206" w14:textId="77777777" w:rsidTr="004554CE">
        <w:trPr>
          <w:trHeight w:val="1351"/>
        </w:trPr>
        <w:tc>
          <w:tcPr>
            <w:tcW w:w="5000" w:type="pct"/>
            <w:gridSpan w:val="5"/>
          </w:tcPr>
          <w:p w14:paraId="5245AF38" w14:textId="77777777" w:rsidR="00A5501A" w:rsidRPr="0029546F" w:rsidRDefault="00A5501A" w:rsidP="00EE1C11">
            <w:pPr>
              <w:pStyle w:val="SemEspaamento"/>
              <w:spacing w:before="240" w:after="120" w:line="360" w:lineRule="auto"/>
              <w:rPr>
                <w:rFonts w:cs="Tahoma"/>
                <w:b/>
                <w:bCs/>
                <w:i w:val="0"/>
                <w:iCs w:val="0"/>
              </w:rPr>
            </w:pPr>
            <w:r w:rsidRPr="0029546F">
              <w:rPr>
                <w:rFonts w:cs="Tahoma"/>
                <w:b/>
                <w:bCs/>
                <w:i w:val="0"/>
                <w:iCs w:val="0"/>
              </w:rPr>
              <w:t>NOME: ________________________________________________________________</w:t>
            </w:r>
          </w:p>
          <w:p w14:paraId="565FCC63" w14:textId="77777777" w:rsidR="00A5501A" w:rsidRPr="00E465F8" w:rsidRDefault="00A5501A" w:rsidP="00EE1C11">
            <w:pPr>
              <w:pStyle w:val="SemEspaamento"/>
              <w:spacing w:before="240" w:after="120" w:line="360" w:lineRule="auto"/>
              <w:rPr>
                <w:rFonts w:asciiTheme="majorHAnsi" w:hAnsiTheme="majorHAnsi" w:cstheme="majorHAnsi"/>
                <w:b/>
              </w:rPr>
            </w:pPr>
            <w:r w:rsidRPr="0029546F">
              <w:rPr>
                <w:rFonts w:cs="Tahoma"/>
                <w:b/>
                <w:bCs/>
                <w:i w:val="0"/>
                <w:iCs w:val="0"/>
                <w:color w:val="000000"/>
              </w:rPr>
              <w:t>TURMA</w:t>
            </w:r>
            <w:r w:rsidRPr="0029546F">
              <w:rPr>
                <w:rFonts w:cs="Tahoma"/>
                <w:b/>
                <w:bCs/>
                <w:i w:val="0"/>
                <w:iCs w:val="0"/>
              </w:rPr>
              <w:t xml:space="preserve">: </w:t>
            </w:r>
            <w:r w:rsidRPr="0029546F">
              <w:rPr>
                <w:rFonts w:cs="Tahoma"/>
                <w:b/>
                <w:bCs/>
                <w:i w:val="0"/>
                <w:iCs w:val="0"/>
                <w:color w:val="000000"/>
              </w:rPr>
              <w:t>__________________________________ DATA:</w:t>
            </w:r>
            <w:r w:rsidRPr="0029546F">
              <w:rPr>
                <w:rFonts w:cs="Tahoma"/>
                <w:b/>
                <w:bCs/>
                <w:i w:val="0"/>
                <w:iCs w:val="0"/>
              </w:rPr>
              <w:t xml:space="preserve"> ______________________</w:t>
            </w:r>
            <w:r>
              <w:rPr>
                <w:rFonts w:cs="Tahoma"/>
                <w:b/>
                <w:bCs/>
                <w:i w:val="0"/>
                <w:iCs w:val="0"/>
              </w:rPr>
              <w:t>_</w:t>
            </w:r>
          </w:p>
        </w:tc>
      </w:tr>
      <w:tr w:rsidR="004554CE" w:rsidRPr="00E465F8" w14:paraId="35106781" w14:textId="77777777" w:rsidTr="004554CE">
        <w:tc>
          <w:tcPr>
            <w:tcW w:w="1893" w:type="pct"/>
            <w:vMerge w:val="restart"/>
          </w:tcPr>
          <w:p w14:paraId="4FF604C6" w14:textId="77777777" w:rsidR="00A5501A" w:rsidRPr="00E465F8" w:rsidRDefault="00A5501A" w:rsidP="00EE1C11">
            <w:pPr>
              <w:jc w:val="center"/>
              <w:rPr>
                <w:rFonts w:asciiTheme="majorHAnsi" w:hAnsiTheme="majorHAnsi" w:cstheme="majorHAnsi"/>
                <w:b/>
                <w:szCs w:val="20"/>
              </w:rPr>
            </w:pPr>
            <w:r w:rsidRPr="000F0502">
              <w:rPr>
                <w:b/>
                <w:bCs/>
              </w:rPr>
              <w:t>BNCC</w:t>
            </w:r>
          </w:p>
        </w:tc>
        <w:tc>
          <w:tcPr>
            <w:tcW w:w="1420" w:type="pct"/>
            <w:vMerge w:val="restart"/>
          </w:tcPr>
          <w:p w14:paraId="2C21FC8B" w14:textId="77777777" w:rsidR="00A5501A" w:rsidRPr="00E465F8" w:rsidRDefault="00A5501A" w:rsidP="00EE1C11">
            <w:pPr>
              <w:jc w:val="center"/>
              <w:rPr>
                <w:rFonts w:asciiTheme="majorHAnsi" w:hAnsiTheme="majorHAnsi" w:cstheme="majorHAnsi"/>
                <w:b/>
                <w:szCs w:val="20"/>
              </w:rPr>
            </w:pPr>
            <w:r>
              <w:rPr>
                <w:b/>
                <w:bCs/>
              </w:rPr>
              <w:t>Habilidade avaliada</w:t>
            </w:r>
          </w:p>
        </w:tc>
        <w:tc>
          <w:tcPr>
            <w:tcW w:w="1686" w:type="pct"/>
            <w:gridSpan w:val="3"/>
          </w:tcPr>
          <w:p w14:paraId="2EE22774" w14:textId="77777777" w:rsidR="00A5501A" w:rsidRPr="00E465F8" w:rsidRDefault="00A5501A" w:rsidP="00EE1C11">
            <w:pPr>
              <w:jc w:val="center"/>
              <w:rPr>
                <w:rFonts w:asciiTheme="majorHAnsi" w:hAnsiTheme="majorHAnsi" w:cstheme="majorHAnsi"/>
                <w:b/>
                <w:szCs w:val="20"/>
              </w:rPr>
            </w:pPr>
            <w:r>
              <w:rPr>
                <w:b/>
                <w:bCs/>
              </w:rPr>
              <w:t>Desempenho</w:t>
            </w:r>
          </w:p>
        </w:tc>
      </w:tr>
      <w:tr w:rsidR="004554CE" w:rsidRPr="00E465F8" w14:paraId="10170795" w14:textId="77777777" w:rsidTr="004554CE">
        <w:tc>
          <w:tcPr>
            <w:tcW w:w="1893" w:type="pct"/>
            <w:vMerge/>
          </w:tcPr>
          <w:p w14:paraId="515F9BF3" w14:textId="77777777" w:rsidR="00A5501A" w:rsidRPr="00E465F8" w:rsidRDefault="00A5501A" w:rsidP="00EE1C11">
            <w:pPr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1420" w:type="pct"/>
            <w:vMerge/>
          </w:tcPr>
          <w:p w14:paraId="5BEE9C2E" w14:textId="77777777" w:rsidR="00A5501A" w:rsidRPr="00E465F8" w:rsidRDefault="00A5501A" w:rsidP="00EE1C11">
            <w:pPr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</w:tc>
        <w:tc>
          <w:tcPr>
            <w:tcW w:w="562" w:type="pct"/>
          </w:tcPr>
          <w:p w14:paraId="6BEA87EB" w14:textId="77777777" w:rsidR="00A5501A" w:rsidRPr="00E465F8" w:rsidRDefault="00A5501A" w:rsidP="00EE1C11">
            <w:pPr>
              <w:jc w:val="center"/>
              <w:rPr>
                <w:rFonts w:asciiTheme="majorHAnsi" w:hAnsiTheme="majorHAnsi" w:cstheme="majorHAnsi"/>
                <w:b/>
                <w:szCs w:val="20"/>
              </w:rPr>
            </w:pPr>
            <w:r>
              <w:rPr>
                <w:rFonts w:cs="Tahoma"/>
                <w:b/>
                <w:szCs w:val="20"/>
              </w:rPr>
              <w:t xml:space="preserve">Sem domínio </w:t>
            </w:r>
          </w:p>
        </w:tc>
        <w:tc>
          <w:tcPr>
            <w:tcW w:w="562" w:type="pct"/>
          </w:tcPr>
          <w:p w14:paraId="1F6D4233" w14:textId="77777777" w:rsidR="00A5501A" w:rsidRPr="00E465F8" w:rsidRDefault="00A5501A" w:rsidP="00EE1C11">
            <w:pPr>
              <w:jc w:val="center"/>
              <w:rPr>
                <w:rFonts w:asciiTheme="majorHAnsi" w:hAnsiTheme="majorHAnsi" w:cstheme="majorHAnsi"/>
                <w:b/>
                <w:szCs w:val="20"/>
              </w:rPr>
            </w:pPr>
            <w:r>
              <w:rPr>
                <w:rFonts w:cs="Tahoma"/>
                <w:b/>
                <w:szCs w:val="20"/>
              </w:rPr>
              <w:t>Domínio parcial</w:t>
            </w:r>
          </w:p>
        </w:tc>
        <w:tc>
          <w:tcPr>
            <w:tcW w:w="562" w:type="pct"/>
          </w:tcPr>
          <w:p w14:paraId="3D9173DF" w14:textId="77777777" w:rsidR="00A5501A" w:rsidRPr="00E465F8" w:rsidRDefault="00A5501A" w:rsidP="00EE1C11">
            <w:pPr>
              <w:jc w:val="center"/>
              <w:rPr>
                <w:rFonts w:asciiTheme="majorHAnsi" w:hAnsiTheme="majorHAnsi" w:cstheme="majorHAnsi"/>
                <w:b/>
                <w:szCs w:val="20"/>
              </w:rPr>
            </w:pPr>
            <w:r>
              <w:rPr>
                <w:rFonts w:cs="Tahoma"/>
                <w:b/>
                <w:szCs w:val="20"/>
              </w:rPr>
              <w:t xml:space="preserve">Com domínio </w:t>
            </w:r>
          </w:p>
        </w:tc>
      </w:tr>
      <w:tr w:rsidR="004554CE" w:rsidRPr="00E465F8" w14:paraId="68FEEBAB" w14:textId="77777777" w:rsidTr="004554CE">
        <w:tc>
          <w:tcPr>
            <w:tcW w:w="1893" w:type="pct"/>
          </w:tcPr>
          <w:p w14:paraId="5E8AA33D" w14:textId="77777777" w:rsidR="00A5501A" w:rsidRPr="00EA02B3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(EF02MA01) Comparar e ordenar números naturais (até a ordem de centenas) pela</w:t>
            </w:r>
          </w:p>
          <w:p w14:paraId="07A53946" w14:textId="77777777" w:rsidR="00A5501A" w:rsidRPr="00EA02B3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EA02B3">
              <w:rPr>
                <w:color w:val="000000"/>
                <w:lang w:val="pt-BR"/>
              </w:rPr>
              <w:t>compreensão de características do sistema de numeração decimal (valor posicional e função do zero).</w:t>
            </w:r>
          </w:p>
        </w:tc>
        <w:tc>
          <w:tcPr>
            <w:tcW w:w="1420" w:type="pct"/>
          </w:tcPr>
          <w:p w14:paraId="6892EB4C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Compreender as características do sistema de numeração decimal (valor posicional)</w:t>
            </w:r>
            <w:r>
              <w:rPr>
                <w:color w:val="000000"/>
                <w:lang w:val="pt-BR"/>
              </w:rPr>
              <w:t>.</w:t>
            </w:r>
          </w:p>
        </w:tc>
        <w:tc>
          <w:tcPr>
            <w:tcW w:w="562" w:type="pct"/>
          </w:tcPr>
          <w:p w14:paraId="6759BDA4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78CD2028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705787BA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59B61A57" w14:textId="77777777" w:rsidTr="004554CE">
        <w:tc>
          <w:tcPr>
            <w:tcW w:w="1893" w:type="pct"/>
          </w:tcPr>
          <w:p w14:paraId="16A3FE21" w14:textId="77777777" w:rsidR="00A5501A" w:rsidRPr="00EA02B3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(EF02MA02) Registrar o resultado da contagem ou estimativa da quantidade de objetos em coleções de até 1000 unidades, realizada por meio de diferentes estratégias.</w:t>
            </w:r>
          </w:p>
        </w:tc>
        <w:tc>
          <w:tcPr>
            <w:tcW w:w="1420" w:type="pct"/>
          </w:tcPr>
          <w:p w14:paraId="2C58E6E5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Contando objetos de uma coleção.</w:t>
            </w:r>
          </w:p>
        </w:tc>
        <w:tc>
          <w:tcPr>
            <w:tcW w:w="562" w:type="pct"/>
          </w:tcPr>
          <w:p w14:paraId="699EADCA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077E0CFB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09C4B08F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7D099E44" w14:textId="77777777" w:rsidTr="004554CE">
        <w:trPr>
          <w:trHeight w:val="1224"/>
        </w:trPr>
        <w:tc>
          <w:tcPr>
            <w:tcW w:w="1893" w:type="pct"/>
          </w:tcPr>
          <w:p w14:paraId="3A1D64E1" w14:textId="77777777" w:rsidR="00A5501A" w:rsidRPr="00AF7EE2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(EF02MA0</w:t>
            </w:r>
            <w:r>
              <w:rPr>
                <w:color w:val="000000"/>
                <w:lang w:val="pt-BR"/>
              </w:rPr>
              <w:t>3</w:t>
            </w:r>
            <w:r w:rsidRPr="004C1F1F">
              <w:rPr>
                <w:color w:val="000000"/>
                <w:lang w:val="pt-BR"/>
              </w:rPr>
              <w:t>)</w:t>
            </w:r>
            <w:r>
              <w:rPr>
                <w:color w:val="000000"/>
                <w:lang w:val="pt-BR"/>
              </w:rPr>
              <w:t xml:space="preserve"> Comparar quantidades de objetos de dois conjuntos, por estimativas e/ou por correspondência (um a um, dois a dois, entre outros), para identificar “tem mais”, “tem menos” ou “tem a mesma quantidade”, indicando, quando for o caso, quantos a mais e quantos a menos. </w:t>
            </w:r>
          </w:p>
        </w:tc>
        <w:tc>
          <w:tcPr>
            <w:tcW w:w="1420" w:type="pct"/>
          </w:tcPr>
          <w:p w14:paraId="14B3ED73" w14:textId="77777777" w:rsidR="00A5501A" w:rsidRPr="008D5CE4" w:rsidRDefault="00A5501A" w:rsidP="00EE1C11">
            <w:pPr>
              <w:autoSpaceDE w:val="0"/>
              <w:autoSpaceDN w:val="0"/>
              <w:adjustRightInd w:val="0"/>
              <w:rPr>
                <w:rFonts w:cs="Tahoma"/>
                <w:szCs w:val="20"/>
                <w:lang w:val="pt-BR"/>
              </w:rPr>
            </w:pPr>
            <w:r w:rsidRPr="008D5CE4">
              <w:rPr>
                <w:rFonts w:cs="Tahoma"/>
                <w:szCs w:val="20"/>
                <w:lang w:val="pt-BR"/>
              </w:rPr>
              <w:t>Comparar quantidades de dois conjuntos</w:t>
            </w:r>
            <w:r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562" w:type="pct"/>
          </w:tcPr>
          <w:p w14:paraId="55A902DB" w14:textId="77777777" w:rsidR="00A5501A" w:rsidRPr="00AF7EE2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4FDF8099" w14:textId="77777777" w:rsidR="00A5501A" w:rsidRPr="00AF7EE2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4C553CC8" w14:textId="77777777" w:rsidR="00A5501A" w:rsidRPr="00AF7EE2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17FB7255" w14:textId="77777777" w:rsidTr="004554CE">
        <w:trPr>
          <w:trHeight w:val="1224"/>
        </w:trPr>
        <w:tc>
          <w:tcPr>
            <w:tcW w:w="1893" w:type="pct"/>
          </w:tcPr>
          <w:p w14:paraId="7509A032" w14:textId="77777777" w:rsidR="00A5501A" w:rsidRPr="00EA02B3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EA02B3">
              <w:rPr>
                <w:color w:val="000000"/>
                <w:lang w:val="pt-BR"/>
              </w:rPr>
              <w:t>(EF02MA04) Compor e decompor números naturais de até três ordens, com suporte de</w:t>
            </w:r>
          </w:p>
          <w:p w14:paraId="0D5383FF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EA02B3">
              <w:rPr>
                <w:color w:val="000000"/>
                <w:lang w:val="pt-BR"/>
              </w:rPr>
              <w:t>material manipulável, por meio de diferentes adições.</w:t>
            </w:r>
          </w:p>
        </w:tc>
        <w:tc>
          <w:tcPr>
            <w:tcW w:w="1420" w:type="pct"/>
          </w:tcPr>
          <w:p w14:paraId="57FB7B6B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Compor e decompor quantidades ou números naturais até 100, com ou sem suporte de imagem de material manipulável</w:t>
            </w:r>
            <w:r>
              <w:rPr>
                <w:color w:val="000000"/>
                <w:lang w:val="pt-BR"/>
              </w:rPr>
              <w:t>.</w:t>
            </w:r>
          </w:p>
        </w:tc>
        <w:tc>
          <w:tcPr>
            <w:tcW w:w="562" w:type="pct"/>
          </w:tcPr>
          <w:p w14:paraId="65BA9109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415AE5F4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573499C1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6BBAAF6D" w14:textId="77777777" w:rsidTr="004554CE">
        <w:tc>
          <w:tcPr>
            <w:tcW w:w="1893" w:type="pct"/>
          </w:tcPr>
          <w:p w14:paraId="245DEBF7" w14:textId="77777777" w:rsidR="00A5501A" w:rsidRPr="00EA02B3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(EF02MA05) Construir fatos básicos da adição e subtração e utilizá-los no cálculo mental ou</w:t>
            </w:r>
          </w:p>
          <w:p w14:paraId="42322857" w14:textId="77777777" w:rsidR="00A5501A" w:rsidRPr="0029546F" w:rsidRDefault="00A5501A" w:rsidP="00EE1C11">
            <w:pPr>
              <w:rPr>
                <w:color w:val="000000"/>
              </w:rPr>
            </w:pPr>
            <w:r w:rsidRPr="0029546F">
              <w:rPr>
                <w:color w:val="000000"/>
              </w:rPr>
              <w:t>escrito.</w:t>
            </w:r>
          </w:p>
        </w:tc>
        <w:tc>
          <w:tcPr>
            <w:tcW w:w="1420" w:type="pct"/>
          </w:tcPr>
          <w:p w14:paraId="194261A2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Usar os fatos básicos da adição para identificar agrupamentos de dezenas.</w:t>
            </w:r>
          </w:p>
        </w:tc>
        <w:tc>
          <w:tcPr>
            <w:tcW w:w="562" w:type="pct"/>
          </w:tcPr>
          <w:p w14:paraId="22A83708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2A53E3B5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6F535A43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</w:tbl>
    <w:p w14:paraId="3CBE54E6" w14:textId="77777777" w:rsidR="004554CE" w:rsidRPr="00AB4662" w:rsidRDefault="004554CE" w:rsidP="004554CE">
      <w:pPr>
        <w:jc w:val="right"/>
        <w:rPr>
          <w:rFonts w:ascii="Tahoma" w:hAnsi="Tahoma" w:cs="Tahoma"/>
          <w:sz w:val="20"/>
          <w:szCs w:val="20"/>
        </w:rPr>
      </w:pPr>
      <w:r w:rsidRPr="00AB4662">
        <w:rPr>
          <w:rFonts w:ascii="Tahoma" w:hAnsi="Tahoma" w:cs="Tahoma"/>
          <w:sz w:val="20"/>
          <w:szCs w:val="20"/>
        </w:rPr>
        <w:t>Continua</w:t>
      </w:r>
    </w:p>
    <w:p w14:paraId="6CCBC20F" w14:textId="77777777" w:rsidR="004554CE" w:rsidRPr="00AB4662" w:rsidRDefault="004554CE" w:rsidP="004554CE">
      <w:pPr>
        <w:rPr>
          <w:rFonts w:ascii="Tahoma" w:hAnsi="Tahoma" w:cs="Tahoma"/>
          <w:sz w:val="20"/>
          <w:szCs w:val="20"/>
        </w:rPr>
      </w:pPr>
      <w:r w:rsidRPr="00AB4662">
        <w:rPr>
          <w:rFonts w:ascii="Tahoma" w:hAnsi="Tahoma" w:cs="Tahoma"/>
          <w:sz w:val="20"/>
          <w:szCs w:val="20"/>
        </w:rPr>
        <w:br w:type="page"/>
      </w:r>
    </w:p>
    <w:p w14:paraId="5FE0B6BA" w14:textId="77777777" w:rsidR="004554CE" w:rsidRPr="00AB4662" w:rsidRDefault="004554CE" w:rsidP="004554CE">
      <w:pPr>
        <w:rPr>
          <w:rFonts w:ascii="Tahoma" w:hAnsi="Tahoma" w:cs="Tahoma"/>
          <w:sz w:val="20"/>
          <w:szCs w:val="20"/>
        </w:rPr>
      </w:pPr>
      <w:r w:rsidRPr="00AB4662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atencao"/>
        <w:tblW w:w="4912" w:type="pct"/>
        <w:tblLayout w:type="fixed"/>
        <w:tblLook w:val="04A0" w:firstRow="1" w:lastRow="0" w:firstColumn="1" w:lastColumn="0" w:noHBand="0" w:noVBand="1"/>
      </w:tblPr>
      <w:tblGrid>
        <w:gridCol w:w="3231"/>
        <w:gridCol w:w="3118"/>
        <w:gridCol w:w="1077"/>
        <w:gridCol w:w="1077"/>
        <w:gridCol w:w="1077"/>
      </w:tblGrid>
      <w:tr w:rsidR="004554CE" w:rsidRPr="00E465F8" w14:paraId="3BA5D37C" w14:textId="77777777" w:rsidTr="004554CE">
        <w:tc>
          <w:tcPr>
            <w:tcW w:w="1686" w:type="pct"/>
          </w:tcPr>
          <w:p w14:paraId="20D7934E" w14:textId="77777777" w:rsidR="00A5501A" w:rsidRPr="00FD3742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FD3742">
              <w:rPr>
                <w:color w:val="000000"/>
                <w:lang w:val="pt-BR"/>
              </w:rPr>
              <w:t>(EF02MA06) Resolver e elaborar problemas de adição e de subtração, envolvendo números</w:t>
            </w:r>
          </w:p>
          <w:p w14:paraId="093AEE2E" w14:textId="77777777" w:rsidR="00A5501A" w:rsidRPr="00FD3742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FD3742">
              <w:rPr>
                <w:color w:val="000000"/>
                <w:lang w:val="pt-BR"/>
              </w:rPr>
              <w:t>de até três ordens, com os significados de juntar, acrescentar, separar, retirar, utilizando estratégias pessoais ou convencionais.</w:t>
            </w:r>
          </w:p>
        </w:tc>
        <w:tc>
          <w:tcPr>
            <w:tcW w:w="1627" w:type="pct"/>
          </w:tcPr>
          <w:p w14:paraId="34D02232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 xml:space="preserve">Resolver problema de adição com números de até </w:t>
            </w:r>
            <w:r>
              <w:rPr>
                <w:color w:val="000000"/>
                <w:lang w:val="pt-BR"/>
              </w:rPr>
              <w:t>dois</w:t>
            </w:r>
            <w:r w:rsidRPr="004C1F1F">
              <w:rPr>
                <w:color w:val="000000"/>
                <w:lang w:val="pt-BR"/>
              </w:rPr>
              <w:t xml:space="preserve"> algarismos, com significado de juntar, com ou sem</w:t>
            </w:r>
            <w:r>
              <w:rPr>
                <w:color w:val="000000"/>
                <w:lang w:val="pt-BR"/>
              </w:rPr>
              <w:t xml:space="preserve"> o</w:t>
            </w:r>
            <w:r w:rsidRPr="004C1F1F">
              <w:rPr>
                <w:color w:val="000000"/>
                <w:lang w:val="pt-BR"/>
              </w:rPr>
              <w:t xml:space="preserve"> apoio de imagem</w:t>
            </w:r>
            <w:r>
              <w:rPr>
                <w:color w:val="000000"/>
                <w:lang w:val="pt-BR"/>
              </w:rPr>
              <w:t>.</w:t>
            </w:r>
          </w:p>
        </w:tc>
        <w:tc>
          <w:tcPr>
            <w:tcW w:w="562" w:type="pct"/>
          </w:tcPr>
          <w:p w14:paraId="2FBC9695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70E9915E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4B7AA8AD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1D962131" w14:textId="77777777" w:rsidTr="004554CE">
        <w:tc>
          <w:tcPr>
            <w:tcW w:w="1686" w:type="pct"/>
          </w:tcPr>
          <w:p w14:paraId="63AEFF55" w14:textId="77777777" w:rsidR="00A5501A" w:rsidRPr="00EA02B3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D67580">
              <w:rPr>
                <w:lang w:val="pt-BR"/>
              </w:rPr>
              <w:br w:type="page"/>
            </w:r>
            <w:r w:rsidRPr="004C1F1F">
              <w:rPr>
                <w:color w:val="000000"/>
                <w:lang w:val="pt-BR"/>
              </w:rPr>
              <w:t>(EF02MA11) Descrever os elementos ausentes em sequências repetitivas e em sequências recursivas de números naturais, objetos ou figuras.</w:t>
            </w:r>
          </w:p>
        </w:tc>
        <w:tc>
          <w:tcPr>
            <w:tcW w:w="1627" w:type="pct"/>
          </w:tcPr>
          <w:p w14:paraId="4B863E10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Identificar elementos ausentes em sequências de números naturais com base em uma regularidade</w:t>
            </w:r>
            <w:r>
              <w:rPr>
                <w:color w:val="000000"/>
                <w:lang w:val="pt-BR"/>
              </w:rPr>
              <w:t>.</w:t>
            </w:r>
          </w:p>
        </w:tc>
        <w:tc>
          <w:tcPr>
            <w:tcW w:w="562" w:type="pct"/>
          </w:tcPr>
          <w:p w14:paraId="7807D203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5F10B400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1ED64808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396C7696" w14:textId="77777777" w:rsidTr="004554CE">
        <w:tc>
          <w:tcPr>
            <w:tcW w:w="1686" w:type="pct"/>
            <w:vMerge w:val="restart"/>
          </w:tcPr>
          <w:p w14:paraId="238416D1" w14:textId="77777777" w:rsidR="00A5501A" w:rsidRPr="00EA02B3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(EF01MA12) Descrever a localização de pessoas e de objetos no espaço segundo um dado ponto de referência, compreendendo que, para a utilização de termos que se referem à posição, como direita, esquerda, em cima, embaixo, é necessário explicitar-se o referencial.</w:t>
            </w:r>
          </w:p>
        </w:tc>
        <w:tc>
          <w:tcPr>
            <w:tcW w:w="1627" w:type="pct"/>
          </w:tcPr>
          <w:p w14:paraId="1D6C0461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Localizar objetos no espaço, utilizando como ponto de referência a identificação de linhas e colunas</w:t>
            </w:r>
            <w:r>
              <w:rPr>
                <w:color w:val="000000"/>
                <w:lang w:val="pt-BR"/>
              </w:rPr>
              <w:t>.</w:t>
            </w:r>
          </w:p>
        </w:tc>
        <w:tc>
          <w:tcPr>
            <w:tcW w:w="562" w:type="pct"/>
          </w:tcPr>
          <w:p w14:paraId="53F0B668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5492A453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18B6D740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18EEFA3D" w14:textId="77777777" w:rsidTr="004554CE">
        <w:tc>
          <w:tcPr>
            <w:tcW w:w="1686" w:type="pct"/>
            <w:vMerge/>
          </w:tcPr>
          <w:p w14:paraId="110E2526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</w:p>
        </w:tc>
        <w:tc>
          <w:tcPr>
            <w:tcW w:w="1627" w:type="pct"/>
          </w:tcPr>
          <w:p w14:paraId="66B3CF4F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EA02B3">
              <w:rPr>
                <w:color w:val="000000"/>
                <w:lang w:val="pt-BR"/>
              </w:rPr>
              <w:t>Localizar objetos no espaço, utilizando a si próprio como ponto de referência e vocabulário apropriado.</w:t>
            </w:r>
          </w:p>
        </w:tc>
        <w:tc>
          <w:tcPr>
            <w:tcW w:w="562" w:type="pct"/>
          </w:tcPr>
          <w:p w14:paraId="1B2505DC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765E7B92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21B78827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20F9F0F4" w14:textId="77777777" w:rsidTr="004554CE">
        <w:tc>
          <w:tcPr>
            <w:tcW w:w="1686" w:type="pct"/>
            <w:vMerge/>
          </w:tcPr>
          <w:p w14:paraId="2302C73C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</w:p>
        </w:tc>
        <w:tc>
          <w:tcPr>
            <w:tcW w:w="1627" w:type="pct"/>
          </w:tcPr>
          <w:p w14:paraId="3CA210CE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Descrever o deslocamento de pessoas no espaço, utilizando como ponto de referência o sujeito que está no ambiente representado por planta baixa e vocabulário apropriado.</w:t>
            </w:r>
          </w:p>
        </w:tc>
        <w:tc>
          <w:tcPr>
            <w:tcW w:w="562" w:type="pct"/>
          </w:tcPr>
          <w:p w14:paraId="306B77AB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25DAA3E1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4FCDB086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4612592D" w14:textId="77777777" w:rsidTr="004554CE">
        <w:tc>
          <w:tcPr>
            <w:tcW w:w="1686" w:type="pct"/>
          </w:tcPr>
          <w:p w14:paraId="2F9D862D" w14:textId="77777777" w:rsidR="00A5501A" w:rsidRPr="00EA02B3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(EF02MA13) Esboçar roteiros a ser seguidos ou plantas de ambientes familiares, assinalando entradas, saídas e alguns pontos de referência.</w:t>
            </w:r>
          </w:p>
        </w:tc>
        <w:tc>
          <w:tcPr>
            <w:tcW w:w="1627" w:type="pct"/>
          </w:tcPr>
          <w:p w14:paraId="49313567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Descrever o deslocamento de pessoas no espaço, utilizando como ponto de referência o sujeito que está no ambiente representado</w:t>
            </w:r>
            <w:r>
              <w:rPr>
                <w:color w:val="000000"/>
                <w:lang w:val="pt-BR"/>
              </w:rPr>
              <w:t xml:space="preserve"> pela planta</w:t>
            </w:r>
            <w:r w:rsidRPr="004C1F1F">
              <w:rPr>
                <w:color w:val="000000"/>
                <w:lang w:val="pt-BR"/>
              </w:rPr>
              <w:t xml:space="preserve"> e vocabulário apropriado.</w:t>
            </w:r>
          </w:p>
        </w:tc>
        <w:tc>
          <w:tcPr>
            <w:tcW w:w="562" w:type="pct"/>
          </w:tcPr>
          <w:p w14:paraId="7FDA8E13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7E89710D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79C2ED31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316EB419" w14:textId="77777777" w:rsidTr="004554CE">
        <w:tc>
          <w:tcPr>
            <w:tcW w:w="1686" w:type="pct"/>
          </w:tcPr>
          <w:p w14:paraId="48F3EE3C" w14:textId="77777777" w:rsidR="00A5501A" w:rsidRPr="00FD3742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FD3742">
              <w:rPr>
                <w:color w:val="000000"/>
                <w:lang w:val="pt-BR"/>
              </w:rPr>
              <w:t>(EF02MA20) Estabelecer a equivalência de valores entre moedas e cédulas do sistema</w:t>
            </w:r>
          </w:p>
          <w:p w14:paraId="51075A4C" w14:textId="77777777" w:rsidR="00A5501A" w:rsidRPr="00FD3742" w:rsidRDefault="00A5501A" w:rsidP="00EE1C11">
            <w:pPr>
              <w:rPr>
                <w:color w:val="000000"/>
                <w:lang w:val="pt-BR"/>
              </w:rPr>
            </w:pPr>
            <w:r w:rsidRPr="00FD3742">
              <w:rPr>
                <w:color w:val="000000"/>
                <w:lang w:val="pt-BR"/>
              </w:rPr>
              <w:t>monetário brasileiro para resolver situações cotidianas.</w:t>
            </w:r>
          </w:p>
        </w:tc>
        <w:tc>
          <w:tcPr>
            <w:tcW w:w="1627" w:type="pct"/>
          </w:tcPr>
          <w:p w14:paraId="22200208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Identificar e estabelecer equivalência entre cédulas e moedas do sistema monetário brasileiro</w:t>
            </w:r>
            <w:r>
              <w:rPr>
                <w:color w:val="000000"/>
                <w:lang w:val="pt-BR"/>
              </w:rPr>
              <w:t>.</w:t>
            </w:r>
          </w:p>
        </w:tc>
        <w:tc>
          <w:tcPr>
            <w:tcW w:w="562" w:type="pct"/>
          </w:tcPr>
          <w:p w14:paraId="40FAC060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6EB30A0C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65957321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E465F8" w14:paraId="1B22662D" w14:textId="77777777" w:rsidTr="004554CE">
        <w:tc>
          <w:tcPr>
            <w:tcW w:w="1686" w:type="pct"/>
          </w:tcPr>
          <w:p w14:paraId="7EFFE743" w14:textId="77777777" w:rsidR="00A5501A" w:rsidRPr="00EA02B3" w:rsidRDefault="00A5501A" w:rsidP="00EE1C11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(EF02MA21) Classificar resultados de eventos cotidianos aleatórios como “pouco prováveis”,</w:t>
            </w:r>
          </w:p>
          <w:p w14:paraId="3A5800C8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“muito prováveis”, “improváveis” e “impossíveis”.</w:t>
            </w:r>
          </w:p>
        </w:tc>
        <w:tc>
          <w:tcPr>
            <w:tcW w:w="1627" w:type="pct"/>
          </w:tcPr>
          <w:p w14:paraId="5D22D3D8" w14:textId="77777777" w:rsidR="00A5501A" w:rsidRPr="00EA02B3" w:rsidRDefault="00A5501A" w:rsidP="00EE1C11">
            <w:pPr>
              <w:rPr>
                <w:color w:val="000000"/>
                <w:lang w:val="pt-BR"/>
              </w:rPr>
            </w:pPr>
            <w:r w:rsidRPr="00EA02B3">
              <w:rPr>
                <w:color w:val="000000"/>
                <w:lang w:val="pt-BR"/>
              </w:rPr>
              <w:t>Analisar eventos que envolvem o acaso identificando aqueles que são “pouco prováve</w:t>
            </w:r>
            <w:r>
              <w:rPr>
                <w:color w:val="000000"/>
                <w:lang w:val="pt-BR"/>
              </w:rPr>
              <w:t>is</w:t>
            </w:r>
            <w:r w:rsidRPr="00EA02B3">
              <w:rPr>
                <w:color w:val="000000"/>
                <w:lang w:val="pt-BR"/>
              </w:rPr>
              <w:t>”, “muito prováveis”, “improváveis” e “impossíveis” em situações do cotidiano.</w:t>
            </w:r>
          </w:p>
        </w:tc>
        <w:tc>
          <w:tcPr>
            <w:tcW w:w="562" w:type="pct"/>
          </w:tcPr>
          <w:p w14:paraId="1C25E17C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7448079E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0A5933BC" w14:textId="77777777" w:rsidR="00A5501A" w:rsidRPr="00EA02B3" w:rsidRDefault="00A5501A" w:rsidP="00EE1C11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</w:tbl>
    <w:p w14:paraId="58AE7194" w14:textId="77777777" w:rsidR="004554CE" w:rsidRPr="00AB4662" w:rsidRDefault="004554CE" w:rsidP="004554CE">
      <w:pPr>
        <w:jc w:val="right"/>
        <w:rPr>
          <w:rFonts w:ascii="Tahoma" w:hAnsi="Tahoma" w:cs="Tahoma"/>
          <w:sz w:val="20"/>
          <w:szCs w:val="20"/>
        </w:rPr>
      </w:pPr>
      <w:r w:rsidRPr="00AB4662">
        <w:rPr>
          <w:rFonts w:ascii="Tahoma" w:hAnsi="Tahoma" w:cs="Tahoma"/>
          <w:sz w:val="20"/>
          <w:szCs w:val="20"/>
        </w:rPr>
        <w:t>Continua</w:t>
      </w:r>
    </w:p>
    <w:p w14:paraId="374832E0" w14:textId="77777777" w:rsidR="004554CE" w:rsidRPr="00AB4662" w:rsidRDefault="004554CE" w:rsidP="004554CE">
      <w:pPr>
        <w:rPr>
          <w:rFonts w:ascii="Tahoma" w:hAnsi="Tahoma" w:cs="Tahoma"/>
          <w:sz w:val="20"/>
          <w:szCs w:val="20"/>
        </w:rPr>
      </w:pPr>
      <w:r w:rsidRPr="00AB4662">
        <w:rPr>
          <w:rFonts w:ascii="Tahoma" w:hAnsi="Tahoma" w:cs="Tahoma"/>
          <w:sz w:val="20"/>
          <w:szCs w:val="20"/>
        </w:rPr>
        <w:br w:type="page"/>
      </w:r>
    </w:p>
    <w:p w14:paraId="67D49BBB" w14:textId="77777777" w:rsidR="004554CE" w:rsidRPr="00AB4662" w:rsidRDefault="004554CE" w:rsidP="004554CE">
      <w:pPr>
        <w:rPr>
          <w:rFonts w:ascii="Tahoma" w:hAnsi="Tahoma" w:cs="Tahoma"/>
          <w:sz w:val="20"/>
          <w:szCs w:val="20"/>
        </w:rPr>
      </w:pPr>
      <w:r w:rsidRPr="00AB4662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atencao"/>
        <w:tblW w:w="4913" w:type="pct"/>
        <w:tblLayout w:type="fixed"/>
        <w:tblLook w:val="04A0" w:firstRow="1" w:lastRow="0" w:firstColumn="1" w:lastColumn="0" w:noHBand="0" w:noVBand="1"/>
      </w:tblPr>
      <w:tblGrid>
        <w:gridCol w:w="3231"/>
        <w:gridCol w:w="3120"/>
        <w:gridCol w:w="1077"/>
        <w:gridCol w:w="1077"/>
        <w:gridCol w:w="1077"/>
      </w:tblGrid>
      <w:tr w:rsidR="004554CE" w:rsidRPr="00EA02B3" w14:paraId="70561763" w14:textId="77777777" w:rsidTr="004554CE">
        <w:tc>
          <w:tcPr>
            <w:tcW w:w="1686" w:type="pct"/>
          </w:tcPr>
          <w:p w14:paraId="506EBAC7" w14:textId="77777777" w:rsidR="004554CE" w:rsidRPr="00FD3742" w:rsidRDefault="004554CE" w:rsidP="00891D2B">
            <w:pPr>
              <w:autoSpaceDE w:val="0"/>
              <w:autoSpaceDN w:val="0"/>
              <w:adjustRightInd w:val="0"/>
              <w:rPr>
                <w:color w:val="000000"/>
                <w:lang w:val="pt-BR"/>
              </w:rPr>
            </w:pPr>
            <w:r w:rsidRPr="00FD3742">
              <w:rPr>
                <w:color w:val="000000"/>
                <w:lang w:val="pt-BR"/>
              </w:rPr>
              <w:t>(EF02MA22) Comparar informações de pesquisas apresentadas por meio de tabelas de dupla entrada e em gráficos de colunas simples ou barras, para melhor compreender aspectos da</w:t>
            </w:r>
          </w:p>
          <w:p w14:paraId="430057D5" w14:textId="77777777" w:rsidR="004554CE" w:rsidRPr="0029546F" w:rsidRDefault="004554CE" w:rsidP="00891D2B">
            <w:pPr>
              <w:rPr>
                <w:color w:val="000000"/>
              </w:rPr>
            </w:pPr>
            <w:r w:rsidRPr="0029546F">
              <w:rPr>
                <w:color w:val="000000"/>
              </w:rPr>
              <w:t>realidade próxima.</w:t>
            </w:r>
          </w:p>
        </w:tc>
        <w:tc>
          <w:tcPr>
            <w:tcW w:w="1628" w:type="pct"/>
          </w:tcPr>
          <w:p w14:paraId="7F3663A9" w14:textId="77777777" w:rsidR="004554CE" w:rsidRPr="00EA02B3" w:rsidRDefault="004554CE" w:rsidP="00891D2B">
            <w:pPr>
              <w:rPr>
                <w:color w:val="000000"/>
                <w:lang w:val="pt-BR"/>
              </w:rPr>
            </w:pPr>
            <w:r w:rsidRPr="004C1F1F">
              <w:rPr>
                <w:color w:val="000000"/>
                <w:lang w:val="pt-BR"/>
              </w:rPr>
              <w:t>Ler dados apresentados em tabelas simples.</w:t>
            </w:r>
          </w:p>
        </w:tc>
        <w:tc>
          <w:tcPr>
            <w:tcW w:w="562" w:type="pct"/>
          </w:tcPr>
          <w:p w14:paraId="649A5011" w14:textId="77777777" w:rsidR="004554CE" w:rsidRPr="00EA02B3" w:rsidRDefault="004554CE" w:rsidP="00891D2B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0EFE77D1" w14:textId="77777777" w:rsidR="004554CE" w:rsidRPr="00EA02B3" w:rsidRDefault="004554CE" w:rsidP="00891D2B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  <w:tc>
          <w:tcPr>
            <w:tcW w:w="562" w:type="pct"/>
          </w:tcPr>
          <w:p w14:paraId="53474605" w14:textId="77777777" w:rsidR="004554CE" w:rsidRPr="00EA02B3" w:rsidRDefault="004554CE" w:rsidP="00891D2B">
            <w:pPr>
              <w:jc w:val="both"/>
              <w:rPr>
                <w:rFonts w:cstheme="majorHAnsi"/>
                <w:color w:val="000000"/>
                <w:szCs w:val="20"/>
                <w:lang w:val="pt-BR"/>
              </w:rPr>
            </w:pPr>
          </w:p>
        </w:tc>
      </w:tr>
      <w:tr w:rsidR="004554CE" w:rsidRPr="0029546F" w14:paraId="4AB35964" w14:textId="77777777" w:rsidTr="004554CE">
        <w:trPr>
          <w:trHeight w:val="510"/>
        </w:trPr>
        <w:tc>
          <w:tcPr>
            <w:tcW w:w="3314" w:type="pct"/>
            <w:gridSpan w:val="2"/>
          </w:tcPr>
          <w:p w14:paraId="31CC2E8C" w14:textId="77777777" w:rsidR="004554CE" w:rsidRPr="006C65CC" w:rsidRDefault="004554CE" w:rsidP="00891D2B">
            <w:pPr>
              <w:jc w:val="center"/>
            </w:pPr>
            <w:r>
              <w:rPr>
                <w:rFonts w:cs="Tahoma"/>
                <w:b/>
                <w:bCs/>
              </w:rPr>
              <w:t>Nota/conceito</w:t>
            </w:r>
          </w:p>
        </w:tc>
        <w:tc>
          <w:tcPr>
            <w:tcW w:w="562" w:type="pct"/>
          </w:tcPr>
          <w:p w14:paraId="012274D3" w14:textId="77777777" w:rsidR="004554CE" w:rsidRPr="0029546F" w:rsidRDefault="004554CE" w:rsidP="00891D2B">
            <w:pPr>
              <w:jc w:val="both"/>
              <w:rPr>
                <w:rFonts w:cstheme="majorHAnsi"/>
                <w:color w:val="000000"/>
                <w:szCs w:val="20"/>
              </w:rPr>
            </w:pPr>
          </w:p>
        </w:tc>
        <w:tc>
          <w:tcPr>
            <w:tcW w:w="562" w:type="pct"/>
          </w:tcPr>
          <w:p w14:paraId="21E86C77" w14:textId="77777777" w:rsidR="004554CE" w:rsidRPr="0029546F" w:rsidRDefault="004554CE" w:rsidP="00891D2B">
            <w:pPr>
              <w:jc w:val="both"/>
              <w:rPr>
                <w:rFonts w:cstheme="majorHAnsi"/>
                <w:color w:val="000000"/>
                <w:szCs w:val="20"/>
              </w:rPr>
            </w:pPr>
          </w:p>
        </w:tc>
        <w:tc>
          <w:tcPr>
            <w:tcW w:w="562" w:type="pct"/>
          </w:tcPr>
          <w:p w14:paraId="6C95D258" w14:textId="77777777" w:rsidR="004554CE" w:rsidRPr="0029546F" w:rsidRDefault="004554CE" w:rsidP="00891D2B">
            <w:pPr>
              <w:jc w:val="both"/>
              <w:rPr>
                <w:rFonts w:cstheme="majorHAnsi"/>
                <w:color w:val="000000"/>
                <w:szCs w:val="20"/>
              </w:rPr>
            </w:pPr>
          </w:p>
        </w:tc>
      </w:tr>
    </w:tbl>
    <w:p w14:paraId="3D4FEB7A" w14:textId="77777777" w:rsidR="000F0502" w:rsidRPr="00A5501A" w:rsidRDefault="000F0502" w:rsidP="00A5501A"/>
    <w:sectPr w:rsidR="000F0502" w:rsidRPr="00A5501A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693E5" w14:textId="77777777" w:rsidR="00EF7111" w:rsidRDefault="00EF7111" w:rsidP="00713DA3">
      <w:pPr>
        <w:spacing w:after="0"/>
      </w:pPr>
      <w:r>
        <w:separator/>
      </w:r>
    </w:p>
  </w:endnote>
  <w:endnote w:type="continuationSeparator" w:id="0">
    <w:p w14:paraId="7303E63A" w14:textId="77777777" w:rsidR="00EF7111" w:rsidRDefault="00EF711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A97FF6B-7039-4D55-BDBB-C4B65DE2CE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DF726C3-9AE1-4534-9DCC-D148FE936082}"/>
    <w:embedBold r:id="rId3" w:fontKey="{AEBA222A-4F3B-42DA-B97B-7E893E39A319}"/>
    <w:embedItalic r:id="rId4" w:fontKey="{33BBD44A-01B9-407D-8919-E0870274DC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90C7DEB8-F8BB-4ADF-AF9C-FAE1C318AB18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CB5A1" w14:textId="77777777" w:rsidR="00EF1C8C" w:rsidRDefault="00EF1C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35EC6" w14:textId="1BF8A17C" w:rsidR="0029546F" w:rsidRPr="007E3DAC" w:rsidRDefault="0029546F" w:rsidP="0029546F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7E3DAC">
      <w:rPr>
        <w:rStyle w:val="Nmerodepgina"/>
        <w:sz w:val="24"/>
        <w:szCs w:val="24"/>
      </w:rPr>
      <w:fldChar w:fldCharType="begin"/>
    </w:r>
    <w:r w:rsidRPr="007E3DAC">
      <w:rPr>
        <w:rStyle w:val="Nmerodepgina"/>
        <w:sz w:val="24"/>
        <w:szCs w:val="24"/>
      </w:rPr>
      <w:instrText xml:space="preserve">PAGE  </w:instrText>
    </w:r>
    <w:r w:rsidRPr="007E3DAC">
      <w:rPr>
        <w:rStyle w:val="Nmerodepgina"/>
        <w:sz w:val="24"/>
        <w:szCs w:val="24"/>
      </w:rPr>
      <w:fldChar w:fldCharType="separate"/>
    </w:r>
    <w:r w:rsidR="00EF1C8C">
      <w:rPr>
        <w:rStyle w:val="Nmerodepgina"/>
        <w:noProof/>
        <w:sz w:val="24"/>
        <w:szCs w:val="24"/>
      </w:rPr>
      <w:t>1</w:t>
    </w:r>
    <w:r w:rsidRPr="007E3DAC">
      <w:rPr>
        <w:rStyle w:val="Nmerodepgina"/>
        <w:sz w:val="24"/>
        <w:szCs w:val="24"/>
      </w:rPr>
      <w:fldChar w:fldCharType="end"/>
    </w:r>
  </w:p>
  <w:p w14:paraId="0F3FCC6D" w14:textId="5DFDF36A" w:rsidR="008421B1" w:rsidRPr="0029546F" w:rsidRDefault="0029546F" w:rsidP="00EF1C8C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</w:t>
    </w:r>
    <w:bookmarkStart w:id="0" w:name="_GoBack"/>
    <w:bookmarkEnd w:id="0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1F8E2" w14:textId="77777777" w:rsidR="00EF1C8C" w:rsidRDefault="00EF1C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5C8E1" w14:textId="77777777" w:rsidR="00EF7111" w:rsidRDefault="00EF7111" w:rsidP="00713DA3">
      <w:pPr>
        <w:spacing w:after="0"/>
      </w:pPr>
      <w:r>
        <w:separator/>
      </w:r>
    </w:p>
  </w:footnote>
  <w:footnote w:type="continuationSeparator" w:id="0">
    <w:p w14:paraId="2A7AFC0E" w14:textId="77777777" w:rsidR="00EF7111" w:rsidRDefault="00EF711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445FF" w14:textId="77777777" w:rsidR="00EF1C8C" w:rsidRDefault="00EF1C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277FCC43" w:rsidR="008421B1" w:rsidRDefault="0029546F" w:rsidP="008744CE">
    <w:pPr>
      <w:pStyle w:val="Cabealho"/>
    </w:pPr>
    <w:r>
      <w:rPr>
        <w:noProof/>
        <w:lang w:eastAsia="pt-BR"/>
      </w:rPr>
      <w:drawing>
        <wp:inline distT="0" distB="0" distL="0" distR="0" wp14:anchorId="6CCBFAEE" wp14:editId="68667F6F">
          <wp:extent cx="5940000" cy="295817"/>
          <wp:effectExtent l="0" t="0" r="0" b="9525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ARJA_PBA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2074B" w14:textId="77777777" w:rsidR="00EF1C8C" w:rsidRDefault="00EF1C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7737F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4521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97F75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244"/>
    <w:rsid w:val="00292762"/>
    <w:rsid w:val="0029397F"/>
    <w:rsid w:val="0029546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2E25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54CE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5607D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76653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501A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4662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388C"/>
    <w:rsid w:val="00BC55A9"/>
    <w:rsid w:val="00BC7277"/>
    <w:rsid w:val="00BC74D9"/>
    <w:rsid w:val="00BD2E03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27AD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1C8C"/>
    <w:rsid w:val="00EF3434"/>
    <w:rsid w:val="00EF7111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D3742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7F160144-0E62-4373-81EE-B787FEDD6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554CE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295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6897C-6099-446C-B061-8069EE6FD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613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17</cp:revision>
  <cp:lastPrinted>2017-10-17T11:21:00Z</cp:lastPrinted>
  <dcterms:created xsi:type="dcterms:W3CDTF">2017-11-14T02:22:00Z</dcterms:created>
  <dcterms:modified xsi:type="dcterms:W3CDTF">2018-01-03T19:34:00Z</dcterms:modified>
</cp:coreProperties>
</file>